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78515D26" w:rsidR="00BD21BC" w:rsidRPr="00B076ED"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076ED">
        <w:rPr>
          <w:rFonts w:eastAsia="MS Mincho" w:cs="Arial"/>
          <w:kern w:val="0"/>
          <w:sz w:val="24"/>
          <w:lang w:val="en-US" w:eastAsia="en-US"/>
        </w:rPr>
        <w:t>3GPP TSG-RAN</w:t>
      </w:r>
      <w:r w:rsidR="00582D4B" w:rsidRPr="00B076ED">
        <w:rPr>
          <w:rFonts w:eastAsia="MS Mincho" w:cs="Arial"/>
          <w:kern w:val="0"/>
          <w:sz w:val="24"/>
          <w:lang w:val="en-US" w:eastAsia="en-US"/>
        </w:rPr>
        <w:t>1</w:t>
      </w:r>
      <w:r w:rsidRPr="00B076ED">
        <w:rPr>
          <w:rFonts w:eastAsia="MS Mincho" w:cs="Arial"/>
          <w:kern w:val="0"/>
          <w:sz w:val="24"/>
          <w:lang w:val="en-US" w:eastAsia="en-US"/>
        </w:rPr>
        <w:t xml:space="preserve"> </w:t>
      </w:r>
      <w:r w:rsidR="00D35EDD" w:rsidRPr="00B076ED">
        <w:rPr>
          <w:rFonts w:eastAsia="MS Mincho" w:cs="Arial"/>
          <w:kern w:val="0"/>
          <w:sz w:val="24"/>
          <w:lang w:val="en-US" w:eastAsia="en-US"/>
        </w:rPr>
        <w:t>NB-IOT Ad Hoc</w:t>
      </w:r>
      <w:r w:rsidRPr="00B076ED">
        <w:rPr>
          <w:rFonts w:eastAsia="MS Mincho" w:cs="Arial"/>
          <w:kern w:val="0"/>
          <w:sz w:val="24"/>
          <w:lang w:val="en-US" w:eastAsia="en-US"/>
        </w:rPr>
        <w:tab/>
        <w:t>R</w:t>
      </w:r>
      <w:r w:rsidR="00582D4B" w:rsidRPr="00B076ED">
        <w:rPr>
          <w:rFonts w:eastAsia="MS Mincho" w:cs="Arial"/>
          <w:kern w:val="0"/>
          <w:sz w:val="24"/>
          <w:lang w:val="en-US" w:eastAsia="en-US"/>
        </w:rPr>
        <w:t>1</w:t>
      </w:r>
      <w:r w:rsidRPr="00B076ED">
        <w:rPr>
          <w:rFonts w:eastAsia="MS Mincho" w:cs="Arial"/>
          <w:kern w:val="0"/>
          <w:sz w:val="24"/>
          <w:lang w:val="en-US" w:eastAsia="en-US"/>
        </w:rPr>
        <w:t>-1</w:t>
      </w:r>
      <w:r w:rsidR="00584AC1" w:rsidRPr="00B076ED">
        <w:rPr>
          <w:rFonts w:eastAsia="MS Mincho" w:cs="Arial"/>
          <w:kern w:val="0"/>
          <w:sz w:val="24"/>
          <w:lang w:val="en-US" w:eastAsia="en-US"/>
        </w:rPr>
        <w:t>6</w:t>
      </w:r>
      <w:r w:rsidR="00D35EDD" w:rsidRPr="00B076ED">
        <w:rPr>
          <w:rFonts w:eastAsia="MS Mincho" w:cs="Arial"/>
          <w:kern w:val="0"/>
          <w:sz w:val="24"/>
          <w:lang w:val="en-US" w:eastAsia="en-US"/>
        </w:rPr>
        <w:t>0094</w:t>
      </w:r>
    </w:p>
    <w:p w14:paraId="51C05F98" w14:textId="75E13006" w:rsidR="00BD21BC" w:rsidRPr="00B076ED" w:rsidRDefault="00D35EDD"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B076ED">
        <w:rPr>
          <w:rFonts w:eastAsia="MS Mincho" w:cs="Arial"/>
          <w:kern w:val="0"/>
          <w:sz w:val="24"/>
          <w:lang w:val="en-US" w:eastAsia="en-US"/>
        </w:rPr>
        <w:t>18-20</w:t>
      </w:r>
      <w:r w:rsidR="00BD21BC" w:rsidRPr="00B076ED">
        <w:rPr>
          <w:rFonts w:eastAsia="MS Mincho" w:cs="Arial"/>
          <w:kern w:val="0"/>
          <w:sz w:val="24"/>
          <w:lang w:val="en-US" w:eastAsia="en-US"/>
        </w:rPr>
        <w:t xml:space="preserve"> </w:t>
      </w:r>
      <w:r w:rsidRPr="00B076ED">
        <w:rPr>
          <w:rFonts w:eastAsia="MS Mincho" w:cs="Arial"/>
          <w:kern w:val="0"/>
          <w:sz w:val="24"/>
          <w:lang w:val="en-US" w:eastAsia="en-US"/>
        </w:rPr>
        <w:t>January</w:t>
      </w:r>
      <w:r w:rsidR="00BD21BC" w:rsidRPr="00B076ED">
        <w:rPr>
          <w:rFonts w:eastAsia="MS Mincho" w:cs="Arial"/>
          <w:kern w:val="0"/>
          <w:sz w:val="24"/>
          <w:lang w:val="en-US" w:eastAsia="en-US"/>
        </w:rPr>
        <w:t xml:space="preserve"> 201</w:t>
      </w:r>
      <w:r w:rsidR="008D47BF" w:rsidRPr="00B076ED">
        <w:rPr>
          <w:rFonts w:eastAsia="MS Mincho" w:cs="Arial"/>
          <w:kern w:val="0"/>
          <w:sz w:val="24"/>
          <w:lang w:val="en-US" w:eastAsia="en-US"/>
        </w:rPr>
        <w:t>6</w:t>
      </w:r>
    </w:p>
    <w:p w14:paraId="586D411C" w14:textId="095A51F1" w:rsidR="00BD21BC" w:rsidRDefault="00D35EDD" w:rsidP="00B076ED">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B076ED">
        <w:rPr>
          <w:rFonts w:eastAsia="MS Mincho" w:cs="Arial"/>
          <w:kern w:val="0"/>
          <w:sz w:val="24"/>
          <w:lang w:val="en-US" w:eastAsia="en-US"/>
        </w:rPr>
        <w:t>Budapest</w:t>
      </w:r>
      <w:r w:rsidR="00BD21BC" w:rsidRPr="00B076ED">
        <w:rPr>
          <w:rFonts w:eastAsia="MS Mincho" w:cs="Arial"/>
          <w:kern w:val="0"/>
          <w:sz w:val="24"/>
          <w:lang w:val="en-US" w:eastAsia="en-US"/>
        </w:rPr>
        <w:t>,</w:t>
      </w:r>
      <w:r w:rsidRPr="00B076ED">
        <w:rPr>
          <w:rFonts w:eastAsia="MS Mincho" w:cs="Arial"/>
          <w:kern w:val="0"/>
          <w:sz w:val="24"/>
          <w:lang w:val="en-US" w:eastAsia="en-US"/>
        </w:rPr>
        <w:t xml:space="preserve"> </w:t>
      </w:r>
      <w:r>
        <w:rPr>
          <w:rFonts w:eastAsia="MS Mincho" w:cs="Arial"/>
          <w:kern w:val="0"/>
          <w:sz w:val="24"/>
          <w:lang w:val="en-US" w:eastAsia="en-US"/>
        </w:rPr>
        <w:t>Hungary</w:t>
      </w:r>
    </w:p>
    <w:p w14:paraId="69063AA7" w14:textId="77777777" w:rsidR="00B076ED" w:rsidRPr="00B076ED" w:rsidRDefault="00B076ED" w:rsidP="00B076ED">
      <w:pPr>
        <w:pStyle w:val="Title"/>
        <w:tabs>
          <w:tab w:val="left" w:pos="709"/>
          <w:tab w:val="right" w:pos="9639"/>
        </w:tabs>
        <w:wordWrap w:val="0"/>
        <w:spacing w:before="0" w:after="0"/>
        <w:ind w:right="600"/>
        <w:jc w:val="both"/>
        <w:outlineLvl w:val="9"/>
        <w:rPr>
          <w:rFonts w:eastAsia="MS Mincho" w:cs="Arial"/>
          <w:kern w:val="0"/>
          <w:sz w:val="24"/>
          <w:lang w:val="en-US" w:eastAsia="en-US"/>
        </w:rPr>
      </w:pPr>
      <w:bookmarkStart w:id="0" w:name="_GoBack"/>
      <w:bookmarkEnd w:id="0"/>
    </w:p>
    <w:p w14:paraId="7267C242" w14:textId="0E43AAB0"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r>
      <w:r w:rsidRPr="00DF438D">
        <w:rPr>
          <w:rFonts w:cs="Arial"/>
          <w:b/>
          <w:sz w:val="24"/>
          <w:lang w:val="en-US" w:eastAsia="ja-JP"/>
        </w:rPr>
        <w:t>Ericsson</w:t>
      </w:r>
    </w:p>
    <w:p w14:paraId="11945E2F" w14:textId="44FBE5B1"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Pr="00BD21BC">
        <w:rPr>
          <w:rFonts w:cs="Arial"/>
          <w:b/>
          <w:sz w:val="24"/>
          <w:lang w:val="en-US" w:eastAsia="ja-JP"/>
        </w:rPr>
        <w:t>N</w:t>
      </w:r>
      <w:r w:rsidR="00DE35EB">
        <w:rPr>
          <w:rFonts w:cs="Arial"/>
          <w:b/>
          <w:sz w:val="24"/>
          <w:lang w:val="en-US" w:eastAsia="ja-JP"/>
        </w:rPr>
        <w:t>B-</w:t>
      </w:r>
      <w:r w:rsidR="001F6DF3">
        <w:rPr>
          <w:rFonts w:cs="Arial"/>
          <w:b/>
          <w:sz w:val="24"/>
          <w:lang w:val="en-US" w:eastAsia="ja-JP"/>
        </w:rPr>
        <w:t>IoT</w:t>
      </w:r>
      <w:r w:rsidR="00DE35EB">
        <w:rPr>
          <w:rFonts w:cs="Arial"/>
          <w:b/>
          <w:sz w:val="24"/>
          <w:lang w:val="en-US" w:eastAsia="ja-JP"/>
        </w:rPr>
        <w:t xml:space="preserve"> - </w:t>
      </w:r>
      <w:r w:rsidR="00986A5E">
        <w:rPr>
          <w:rFonts w:cs="Arial"/>
          <w:b/>
          <w:sz w:val="24"/>
          <w:lang w:val="en-US" w:eastAsia="ja-JP"/>
        </w:rPr>
        <w:t>Design Considerations for</w:t>
      </w:r>
      <w:r w:rsidR="00895096">
        <w:rPr>
          <w:rFonts w:cs="Arial"/>
          <w:b/>
          <w:sz w:val="24"/>
          <w:lang w:val="en-US" w:eastAsia="ja-JP"/>
        </w:rPr>
        <w:t xml:space="preserve"> Zadoff-Chu</w:t>
      </w:r>
      <w:r w:rsidR="00DD406A">
        <w:rPr>
          <w:rFonts w:cs="Arial"/>
          <w:b/>
          <w:sz w:val="24"/>
          <w:lang w:val="en-US" w:eastAsia="ja-JP"/>
        </w:rPr>
        <w:t xml:space="preserve"> </w:t>
      </w:r>
      <w:r w:rsidR="00895096">
        <w:rPr>
          <w:rFonts w:cs="Arial"/>
          <w:b/>
          <w:sz w:val="24"/>
          <w:lang w:val="en-US" w:eastAsia="ja-JP"/>
        </w:rPr>
        <w:t xml:space="preserve">Sequences Based </w:t>
      </w:r>
      <w:r w:rsidR="005056D1">
        <w:rPr>
          <w:rFonts w:cs="Arial"/>
          <w:b/>
          <w:sz w:val="24"/>
          <w:lang w:val="en-US" w:eastAsia="ja-JP"/>
        </w:rPr>
        <w:t>NB-</w:t>
      </w:r>
      <w:r w:rsidR="00895096">
        <w:rPr>
          <w:rFonts w:cs="Arial"/>
          <w:b/>
          <w:sz w:val="24"/>
          <w:lang w:val="en-US" w:eastAsia="ja-JP"/>
        </w:rPr>
        <w:t xml:space="preserve">PRACH </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44BDE9BF" w:rsidR="00A675B4" w:rsidRPr="00DF438D" w:rsidRDefault="00BD21BC" w:rsidP="00BD21BC">
      <w:pPr>
        <w:keepNext/>
        <w:tabs>
          <w:tab w:val="left" w:pos="2552"/>
        </w:tabs>
        <w:rPr>
          <w:lang w:val="en-US"/>
        </w:rPr>
      </w:pPr>
      <w:r w:rsidRPr="00B076ED">
        <w:rPr>
          <w:rFonts w:cs="Arial"/>
          <w:b/>
          <w:sz w:val="24"/>
          <w:lang w:val="en-US"/>
        </w:rPr>
        <w:t xml:space="preserve">Agenda Item:         </w:t>
      </w:r>
      <w:r w:rsidRPr="00B076ED">
        <w:rPr>
          <w:rFonts w:cs="Arial"/>
          <w:b/>
          <w:sz w:val="24"/>
          <w:lang w:val="en-US"/>
        </w:rPr>
        <w:tab/>
      </w:r>
      <w:r w:rsidR="00B076ED" w:rsidRPr="00B076ED">
        <w:rPr>
          <w:rFonts w:cs="Arial"/>
          <w:b/>
          <w:sz w:val="24"/>
          <w:lang w:val="en-US"/>
        </w:rPr>
        <w:t>2.1.2.2</w:t>
      </w:r>
      <w:r w:rsidRPr="00DF438D">
        <w:rPr>
          <w:rFonts w:cs="Arial"/>
          <w:b/>
          <w:sz w:val="24"/>
          <w:lang w:val="en-US"/>
        </w:rPr>
        <w:tab/>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16C3BD15" w14:textId="4144452D" w:rsidR="0052438A" w:rsidRPr="004B486D" w:rsidRDefault="0052438A" w:rsidP="0052438A">
      <w:pPr>
        <w:pStyle w:val="BodyText"/>
        <w:rPr>
          <w:lang w:val="en-US"/>
        </w:rPr>
      </w:pPr>
      <w:r>
        <w:rPr>
          <w:lang w:val="en-US"/>
        </w:rPr>
        <w:t>At RAN#69</w:t>
      </w:r>
      <w:r w:rsidRPr="00FE1F13">
        <w:rPr>
          <w:lang w:val="en-US"/>
        </w:rPr>
        <w:t xml:space="preserve">, a new </w:t>
      </w:r>
      <w:r>
        <w:rPr>
          <w:lang w:val="en-US"/>
        </w:rPr>
        <w:t>work item</w:t>
      </w:r>
      <w:r w:rsidRPr="00FE1F13">
        <w:rPr>
          <w:lang w:val="en-US"/>
        </w:rPr>
        <w:t xml:space="preserve"> named </w:t>
      </w:r>
      <w:r w:rsidRPr="00D9057B">
        <w:rPr>
          <w:i/>
          <w:lang w:val="en-US"/>
        </w:rPr>
        <w:t>NarrowBand IOT (NB-I</w:t>
      </w:r>
      <w:r w:rsidR="00A546B8">
        <w:rPr>
          <w:i/>
          <w:lang w:val="en-US"/>
        </w:rPr>
        <w:t>o</w:t>
      </w:r>
      <w:r w:rsidRPr="00D9057B">
        <w:rPr>
          <w:i/>
          <w:lang w:val="en-US"/>
        </w:rPr>
        <w:t>T)</w:t>
      </w:r>
      <w:r>
        <w:rPr>
          <w:lang w:val="en-US"/>
        </w:rPr>
        <w:t xml:space="preserve"> was approved, see</w:t>
      </w:r>
      <w:r w:rsidR="00594E36">
        <w:rPr>
          <w:lang w:val="en-US"/>
        </w:rPr>
        <w:t xml:space="preserve"> </w:t>
      </w:r>
      <w:r w:rsidR="009700FD">
        <w:rPr>
          <w:lang w:val="en-US"/>
        </w:rPr>
        <w:fldChar w:fldCharType="begin"/>
      </w:r>
      <w:r w:rsidR="009700FD">
        <w:rPr>
          <w:lang w:val="en-US"/>
        </w:rPr>
        <w:instrText xml:space="preserve"> REF _Ref433894019 \r \h </w:instrText>
      </w:r>
      <w:r w:rsidR="009700FD">
        <w:rPr>
          <w:lang w:val="en-US"/>
        </w:rPr>
      </w:r>
      <w:r w:rsidR="009700FD">
        <w:rPr>
          <w:lang w:val="en-US"/>
        </w:rPr>
        <w:fldChar w:fldCharType="separate"/>
      </w:r>
      <w:r w:rsidR="00A779CA">
        <w:rPr>
          <w:lang w:val="en-US"/>
        </w:rPr>
        <w:t>[1]</w:t>
      </w:r>
      <w:r w:rsidR="009700FD">
        <w:rPr>
          <w:lang w:val="en-US"/>
        </w:rPr>
        <w:fldChar w:fldCharType="end"/>
      </w:r>
      <w:r w:rsidRPr="00FE1F13">
        <w:rPr>
          <w:lang w:val="en-US"/>
        </w:rPr>
        <w:t xml:space="preserve">. </w:t>
      </w:r>
      <w:r w:rsidRPr="004B486D">
        <w:rPr>
          <w:lang w:val="en-US"/>
        </w:rPr>
        <w:t>The objective is to specify a radio access for cellu</w:t>
      </w:r>
      <w:r>
        <w:rPr>
          <w:lang w:val="en-US"/>
        </w:rPr>
        <w:t xml:space="preserve">lar internet of things </w:t>
      </w:r>
      <w:r w:rsidRPr="004B486D">
        <w:rPr>
          <w:lang w:val="en-US"/>
        </w:rPr>
        <w:t>that addresses improved indoor coverage, support for massive number of low throughput devices, low delay sensitivity, ultra-low device cost, low device power consumption and (op</w:t>
      </w:r>
      <w:r>
        <w:rPr>
          <w:lang w:val="en-US"/>
        </w:rPr>
        <w:t xml:space="preserve">timized) network architecture. </w:t>
      </w:r>
    </w:p>
    <w:p w14:paraId="6E398E9D" w14:textId="77777777" w:rsidR="0052438A" w:rsidRPr="004B486D" w:rsidRDefault="0052438A" w:rsidP="0052438A">
      <w:pPr>
        <w:pStyle w:val="BodyText"/>
        <w:rPr>
          <w:lang w:val="en-US"/>
        </w:rPr>
      </w:pPr>
      <w:r w:rsidRPr="004B486D">
        <w:rPr>
          <w:lang w:val="en-US"/>
        </w:rPr>
        <w:t xml:space="preserve">NB-IOT should support 3 different modes of operation: </w:t>
      </w:r>
    </w:p>
    <w:p w14:paraId="312121E2" w14:textId="77777777" w:rsidR="0052438A" w:rsidRPr="004B486D" w:rsidRDefault="0052438A" w:rsidP="0052438A">
      <w:pPr>
        <w:pStyle w:val="BodyText"/>
        <w:rPr>
          <w:lang w:val="en-US"/>
        </w:rPr>
      </w:pPr>
      <w:r>
        <w:rPr>
          <w:lang w:val="en-US"/>
        </w:rPr>
        <w:t>1.</w:t>
      </w:r>
      <w:r>
        <w:rPr>
          <w:lang w:val="en-US"/>
        </w:rPr>
        <w:tab/>
        <w:t>“</w:t>
      </w:r>
      <w:r w:rsidRPr="004B486D">
        <w:rPr>
          <w:lang w:val="en-US"/>
        </w:rPr>
        <w:t>Stand-alon</w:t>
      </w:r>
      <w:r>
        <w:rPr>
          <w:lang w:val="en-US"/>
        </w:rPr>
        <w:t>e operation”</w:t>
      </w:r>
      <w:r w:rsidRPr="004B486D">
        <w:rPr>
          <w:lang w:val="en-US"/>
        </w:rPr>
        <w:t xml:space="preserve"> utilizing for example the spectrum currently being used by GERAN systems as a replacement of one or more GSM carriers</w:t>
      </w:r>
    </w:p>
    <w:p w14:paraId="5F1DB6E3" w14:textId="77777777" w:rsidR="0052438A" w:rsidRPr="004B486D" w:rsidRDefault="0052438A" w:rsidP="0052438A">
      <w:pPr>
        <w:pStyle w:val="BodyText"/>
        <w:rPr>
          <w:lang w:val="en-US"/>
        </w:rPr>
      </w:pPr>
      <w:r>
        <w:rPr>
          <w:lang w:val="en-US"/>
        </w:rPr>
        <w:t>2.</w:t>
      </w:r>
      <w:r>
        <w:rPr>
          <w:lang w:val="en-US"/>
        </w:rPr>
        <w:tab/>
        <w:t>“Guard band operation”</w:t>
      </w:r>
      <w:r w:rsidRPr="004B486D">
        <w:rPr>
          <w:lang w:val="en-US"/>
        </w:rPr>
        <w:t xml:space="preserve"> utilizing the unused resource blocks within a LTE carrier’s guard-band </w:t>
      </w:r>
    </w:p>
    <w:p w14:paraId="11FE0FDD" w14:textId="77777777" w:rsidR="0052438A" w:rsidRDefault="0052438A" w:rsidP="0052438A">
      <w:pPr>
        <w:pStyle w:val="BodyText"/>
        <w:rPr>
          <w:lang w:val="en-US"/>
        </w:rPr>
      </w:pPr>
      <w:r>
        <w:rPr>
          <w:lang w:val="en-US"/>
        </w:rPr>
        <w:t>3.</w:t>
      </w:r>
      <w:r>
        <w:rPr>
          <w:lang w:val="en-US"/>
        </w:rPr>
        <w:tab/>
        <w:t>“In-band operation”</w:t>
      </w:r>
      <w:r w:rsidRPr="004B486D">
        <w:rPr>
          <w:lang w:val="en-US"/>
        </w:rPr>
        <w:t xml:space="preserve"> utilizing resource blocks within a normal LTE carrier</w:t>
      </w:r>
    </w:p>
    <w:p w14:paraId="35FA2DDE" w14:textId="01995B7D" w:rsidR="00DD2156" w:rsidRDefault="00315CBA" w:rsidP="00792345">
      <w:pPr>
        <w:pStyle w:val="BodyText"/>
      </w:pPr>
      <w:r>
        <w:t>In RAN#70</w:t>
      </w:r>
      <w:r w:rsidR="00DD2156">
        <w:t xml:space="preserve">, the following items have been agreed </w:t>
      </w:r>
      <w:r w:rsidR="00DD2156">
        <w:fldChar w:fldCharType="begin"/>
      </w:r>
      <w:r w:rsidR="00DD2156">
        <w:instrText xml:space="preserve"> REF _Ref436223503 \r \h </w:instrText>
      </w:r>
      <w:r w:rsidR="00DD2156">
        <w:fldChar w:fldCharType="separate"/>
      </w:r>
      <w:r w:rsidR="00A779CA">
        <w:t>[2]</w:t>
      </w:r>
      <w:r w:rsidR="00DD2156">
        <w:fldChar w:fldCharType="end"/>
      </w:r>
      <w:r w:rsidR="00DD2156">
        <w:t>.</w:t>
      </w:r>
    </w:p>
    <w:p w14:paraId="16B3CF40" w14:textId="77777777" w:rsidR="00315CBA" w:rsidRDefault="00315CBA" w:rsidP="00315CBA">
      <w:pPr>
        <w:numPr>
          <w:ilvl w:val="0"/>
          <w:numId w:val="15"/>
        </w:numPr>
        <w:spacing w:after="180"/>
        <w:ind w:right="-99"/>
        <w:jc w:val="left"/>
        <w:rPr>
          <w:bCs/>
        </w:rPr>
      </w:pPr>
      <w:r>
        <w:rPr>
          <w:bCs/>
        </w:rPr>
        <w:t>180 kHz UE RF bandwidth for both downlink and uplink</w:t>
      </w:r>
    </w:p>
    <w:p w14:paraId="0B2296C1" w14:textId="77777777" w:rsidR="00315CBA" w:rsidRDefault="00315CBA" w:rsidP="00315CBA">
      <w:pPr>
        <w:numPr>
          <w:ilvl w:val="0"/>
          <w:numId w:val="15"/>
        </w:numPr>
        <w:spacing w:after="180"/>
        <w:ind w:right="-99"/>
        <w:jc w:val="left"/>
        <w:rPr>
          <w:bCs/>
        </w:rPr>
      </w:pPr>
      <w:r w:rsidRPr="0007668C">
        <w:rPr>
          <w:bCs/>
        </w:rPr>
        <w:t>OFDMA on the downlink</w:t>
      </w:r>
    </w:p>
    <w:p w14:paraId="48FE2F0C" w14:textId="77777777" w:rsidR="00315CBA" w:rsidRDefault="00315CBA" w:rsidP="00315CBA">
      <w:pPr>
        <w:numPr>
          <w:ilvl w:val="1"/>
          <w:numId w:val="15"/>
        </w:numPr>
        <w:spacing w:after="180"/>
        <w:ind w:right="-99"/>
        <w:jc w:val="left"/>
        <w:rPr>
          <w:bCs/>
        </w:rPr>
      </w:pPr>
      <w:r>
        <w:rPr>
          <w:bCs/>
        </w:rPr>
        <w:t xml:space="preserve">15 kHz sub-carrier spacing for all the modes of operation (with normal or extended CP). </w:t>
      </w:r>
    </w:p>
    <w:p w14:paraId="5A5FBD65" w14:textId="77777777" w:rsidR="00315CBA" w:rsidRDefault="00315CBA" w:rsidP="00315CBA">
      <w:pPr>
        <w:numPr>
          <w:ilvl w:val="0"/>
          <w:numId w:val="15"/>
        </w:numPr>
        <w:spacing w:after="180"/>
        <w:ind w:right="-99"/>
        <w:jc w:val="left"/>
        <w:rPr>
          <w:bCs/>
        </w:rPr>
      </w:pPr>
      <w:r>
        <w:rPr>
          <w:bCs/>
        </w:rPr>
        <w:t xml:space="preserve">For the uplink: </w:t>
      </w:r>
    </w:p>
    <w:p w14:paraId="25F1A3F5" w14:textId="77777777" w:rsidR="00315CBA" w:rsidRDefault="00315CBA" w:rsidP="00315CBA">
      <w:pPr>
        <w:numPr>
          <w:ilvl w:val="1"/>
          <w:numId w:val="15"/>
        </w:numPr>
        <w:spacing w:after="180"/>
        <w:ind w:right="-99"/>
        <w:jc w:val="left"/>
        <w:rPr>
          <w:bCs/>
        </w:rPr>
      </w:pPr>
      <w:r>
        <w:rPr>
          <w:bCs/>
        </w:rPr>
        <w:t>Single tone transmissions are supported. Two numerologies should be configurable by the network for single-tone transmission: 3.75 kHz and 15 kHz. A cyclic prefix is inserted. Frequency domain sinc pulse-shaping in the physical layer description.</w:t>
      </w:r>
    </w:p>
    <w:p w14:paraId="422BC6CB" w14:textId="77777777" w:rsidR="00315CBA" w:rsidRDefault="00315CBA" w:rsidP="00315CBA">
      <w:pPr>
        <w:numPr>
          <w:ilvl w:val="1"/>
          <w:numId w:val="15"/>
        </w:numPr>
        <w:spacing w:after="180"/>
        <w:ind w:right="-99"/>
        <w:jc w:val="left"/>
        <w:rPr>
          <w:bCs/>
        </w:rPr>
      </w:pPr>
      <w:r>
        <w:rPr>
          <w:bCs/>
        </w:rPr>
        <w:t>Multi-tone transmissions are supported, based on SC-FDMA with 15 kHz UL subcarrier spacing.</w:t>
      </w:r>
    </w:p>
    <w:p w14:paraId="24763CF4" w14:textId="77777777" w:rsidR="00315CBA" w:rsidRDefault="00315CBA" w:rsidP="00315CBA">
      <w:pPr>
        <w:numPr>
          <w:ilvl w:val="1"/>
          <w:numId w:val="15"/>
        </w:numPr>
        <w:spacing w:after="180"/>
        <w:ind w:right="-99"/>
        <w:jc w:val="left"/>
        <w:rPr>
          <w:bCs/>
        </w:rPr>
      </w:pPr>
      <w:r>
        <w:rPr>
          <w:bCs/>
        </w:rPr>
        <w:t>FFS: Additional mechanisms for PAPR reduction.</w:t>
      </w:r>
    </w:p>
    <w:p w14:paraId="670D22FF" w14:textId="77777777" w:rsidR="00315CBA" w:rsidRDefault="00315CBA" w:rsidP="00315CBA">
      <w:pPr>
        <w:numPr>
          <w:ilvl w:val="1"/>
          <w:numId w:val="15"/>
        </w:numPr>
        <w:spacing w:after="180"/>
        <w:ind w:right="-99"/>
        <w:jc w:val="left"/>
        <w:rPr>
          <w:bCs/>
        </w:rPr>
      </w:pPr>
      <w:r>
        <w:rPr>
          <w:bCs/>
        </w:rPr>
        <w:t>The UE shall indicate the support single-tone and/or multi-tone, details to be discussed by RAN WGs</w:t>
      </w:r>
    </w:p>
    <w:p w14:paraId="0EDC032E" w14:textId="271B937B" w:rsidR="00BC55DF" w:rsidRDefault="00921AB6" w:rsidP="00B342A2">
      <w:pPr>
        <w:pStyle w:val="BodyText"/>
      </w:pPr>
      <w:r>
        <w:t>Current</w:t>
      </w:r>
      <w:r w:rsidR="003A35CF">
        <w:t xml:space="preserve">ly, there are two </w:t>
      </w:r>
      <w:r w:rsidR="00BC6B8C">
        <w:t>NB-</w:t>
      </w:r>
      <w:r w:rsidR="003A35CF">
        <w:t>PRACH designs for</w:t>
      </w:r>
      <w:r w:rsidR="00A95FC3">
        <w:t xml:space="preserve"> </w:t>
      </w:r>
      <w:r w:rsidR="003A35CF">
        <w:t>NB-IoT</w:t>
      </w:r>
      <w:r w:rsidR="00A95FC3">
        <w:t xml:space="preserve"> with SC-FDMA based uplink</w:t>
      </w:r>
      <w:r>
        <w:t>: (1) Zadoff-Chu sequences based</w:t>
      </w:r>
      <w:r w:rsidR="009623A6">
        <w:t xml:space="preserve"> PRACH</w:t>
      </w:r>
      <w:r>
        <w:t>, and (2)</w:t>
      </w:r>
      <w:r w:rsidR="00A66DB3">
        <w:t xml:space="preserve"> single </w:t>
      </w:r>
      <w:r w:rsidR="009623A6">
        <w:t>tone</w:t>
      </w:r>
      <w:r w:rsidR="003A35CF">
        <w:t xml:space="preserve"> frequency hopped</w:t>
      </w:r>
      <w:r w:rsidR="009623A6">
        <w:t xml:space="preserve"> PRACH</w:t>
      </w:r>
      <w:r w:rsidR="003E4112">
        <w:t xml:space="preserve"> </w:t>
      </w:r>
      <w:r w:rsidR="003E4112">
        <w:fldChar w:fldCharType="begin"/>
      </w:r>
      <w:r w:rsidR="003E4112">
        <w:instrText xml:space="preserve"> REF _Ref436223730 \r \h </w:instrText>
      </w:r>
      <w:r w:rsidR="003E4112">
        <w:fldChar w:fldCharType="separate"/>
      </w:r>
      <w:r w:rsidR="00A779CA">
        <w:t>[3]</w:t>
      </w:r>
      <w:r w:rsidR="003E4112">
        <w:fldChar w:fldCharType="end"/>
      </w:r>
      <w:r w:rsidR="003A35CF">
        <w:t>.</w:t>
      </w:r>
      <w:r w:rsidR="00D814D8">
        <w:t xml:space="preserve"> </w:t>
      </w:r>
    </w:p>
    <w:p w14:paraId="2E72C4B9" w14:textId="67F5943F" w:rsidR="00BC55DF" w:rsidRDefault="00BC6B8C" w:rsidP="00990218">
      <w:pPr>
        <w:pStyle w:val="BodyText"/>
        <w:numPr>
          <w:ilvl w:val="0"/>
          <w:numId w:val="14"/>
        </w:numPr>
      </w:pPr>
      <w:r>
        <w:t>NB-</w:t>
      </w:r>
      <w:r w:rsidR="00D814D8">
        <w:t xml:space="preserve">PRACH preambles based on design (1) are used by UEs in normal and robust coverage modes to ensure high detection rate, low false alarm rate, and high uplink timing estimation accuracy. </w:t>
      </w:r>
    </w:p>
    <w:p w14:paraId="6F08B936" w14:textId="5345286D" w:rsidR="00D814D8" w:rsidRDefault="00BC6B8C" w:rsidP="00990218">
      <w:pPr>
        <w:pStyle w:val="BodyText"/>
        <w:numPr>
          <w:ilvl w:val="0"/>
          <w:numId w:val="14"/>
        </w:numPr>
      </w:pPr>
      <w:r>
        <w:rPr>
          <w:lang w:eastAsia="ko-KR"/>
        </w:rPr>
        <w:t>NB-</w:t>
      </w:r>
      <w:r w:rsidR="00D814D8">
        <w:rPr>
          <w:lang w:val="en-US" w:eastAsia="ko-KR"/>
        </w:rPr>
        <w:t>PRACH preambles based on design (2) are used by UEs in extremely coverage limited locations. These preambles are constant-envelope signals, which avoid the needs for PA backoff, and thus aiming at maximizing the coverage.</w:t>
      </w:r>
    </w:p>
    <w:p w14:paraId="62E7B2AD" w14:textId="1F2CBAE3" w:rsidR="00792345" w:rsidRPr="00921AB6" w:rsidRDefault="00921AB6" w:rsidP="00B342A2">
      <w:pPr>
        <w:pStyle w:val="BodyText"/>
      </w:pPr>
      <w:r>
        <w:t>In this c</w:t>
      </w:r>
      <w:r w:rsidR="003A35CF">
        <w:t>ontribution, we</w:t>
      </w:r>
      <w:r w:rsidR="009A34B1">
        <w:t xml:space="preserve"> focus on design (1) and</w:t>
      </w:r>
      <w:r w:rsidR="003A35CF">
        <w:t xml:space="preserve"> d</w:t>
      </w:r>
      <w:r w:rsidR="003E4112">
        <w:t>iscuss the various design considerations</w:t>
      </w:r>
      <w:r w:rsidR="003A35CF">
        <w:t xml:space="preserve"> that should be taken into account for Zadoff-Chu sequences based NB-IoT </w:t>
      </w:r>
      <w:r w:rsidR="00BC6B8C">
        <w:t>NB-</w:t>
      </w:r>
      <w:r w:rsidR="003A35CF">
        <w:t>PRACH design.</w:t>
      </w:r>
    </w:p>
    <w:p w14:paraId="5A297BD7" w14:textId="463D5BD2" w:rsidR="00792345" w:rsidRDefault="003A35CF" w:rsidP="00792345">
      <w:pPr>
        <w:pStyle w:val="Heading1"/>
      </w:pPr>
      <w:r>
        <w:lastRenderedPageBreak/>
        <w:t>Design Considerations</w:t>
      </w:r>
    </w:p>
    <w:p w14:paraId="420AAD6A" w14:textId="120A4F6A" w:rsidR="002860F4" w:rsidRPr="002860F4" w:rsidRDefault="002860F4" w:rsidP="002860F4">
      <w:r>
        <w:t>In this section, we discuss h</w:t>
      </w:r>
      <w:r w:rsidR="00573F6F">
        <w:t>ow different</w:t>
      </w:r>
      <w:r>
        <w:t xml:space="preserve"> </w:t>
      </w:r>
      <w:r w:rsidR="00BC6B8C">
        <w:t>NB-</w:t>
      </w:r>
      <w:r w:rsidR="001D0FC8">
        <w:t>PRACH design parameter</w:t>
      </w:r>
      <w:r w:rsidR="00573F6F">
        <w:t>s affect</w:t>
      </w:r>
      <w:r w:rsidR="001D0FC8">
        <w:t xml:space="preserve"> the</w:t>
      </w:r>
      <w:r w:rsidR="00573F6F">
        <w:t xml:space="preserve"> performance including detection, false alarm, timing estimation, collision, and/or supported cell size</w:t>
      </w:r>
      <w:r w:rsidR="0054763B">
        <w:t>s</w:t>
      </w:r>
      <w:r w:rsidR="00573F6F">
        <w:t xml:space="preserve">. </w:t>
      </w:r>
    </w:p>
    <w:p w14:paraId="219B68A6" w14:textId="0EA795F0" w:rsidR="002204EA" w:rsidRDefault="005056D1" w:rsidP="006843DD">
      <w:pPr>
        <w:pStyle w:val="Heading2"/>
      </w:pPr>
      <w:r>
        <w:t>NB-</w:t>
      </w:r>
      <w:r w:rsidR="006843DD">
        <w:t xml:space="preserve">PRACH Bandwidth </w:t>
      </w:r>
    </w:p>
    <w:p w14:paraId="41AC2B43" w14:textId="6A62BA1D" w:rsidR="007D19C6" w:rsidRDefault="00573F6F" w:rsidP="00573F6F">
      <w:pPr>
        <w:pStyle w:val="BodyText"/>
        <w:rPr>
          <w:lang w:eastAsia="ko-KR"/>
        </w:rPr>
      </w:pPr>
      <w:r>
        <w:rPr>
          <w:lang w:eastAsia="ko-KR"/>
        </w:rPr>
        <w:t xml:space="preserve">The UE RF </w:t>
      </w:r>
      <w:r w:rsidRPr="00E330BC">
        <w:rPr>
          <w:lang w:eastAsia="ko-KR"/>
        </w:rPr>
        <w:t>bandwidth is 180 kHz in NB-</w:t>
      </w:r>
      <w:r>
        <w:rPr>
          <w:lang w:eastAsia="ko-KR"/>
        </w:rPr>
        <w:t xml:space="preserve">IoT, which limits the maximum </w:t>
      </w:r>
      <w:r w:rsidR="00BC6B8C">
        <w:rPr>
          <w:lang w:eastAsia="ko-KR"/>
        </w:rPr>
        <w:t>NB-</w:t>
      </w:r>
      <w:r>
        <w:rPr>
          <w:lang w:eastAsia="ko-KR"/>
        </w:rPr>
        <w:t>PRACH bandwidth to 180 kHz.</w:t>
      </w:r>
      <w:r w:rsidR="00740EA2">
        <w:rPr>
          <w:lang w:eastAsia="ko-KR"/>
        </w:rPr>
        <w:t xml:space="preserve"> The</w:t>
      </w:r>
      <w:r w:rsidR="00135EB8">
        <w:rPr>
          <w:lang w:eastAsia="ko-KR"/>
        </w:rPr>
        <w:t xml:space="preserve"> choice of </w:t>
      </w:r>
      <w:r w:rsidR="00BC6B8C">
        <w:rPr>
          <w:lang w:eastAsia="ko-KR"/>
        </w:rPr>
        <w:t>NB-</w:t>
      </w:r>
      <w:r w:rsidR="00135EB8">
        <w:rPr>
          <w:lang w:eastAsia="ko-KR"/>
        </w:rPr>
        <w:t>PRACH bandwidth has a direct impact on the timing estimation accuracy, as detailed below.</w:t>
      </w:r>
    </w:p>
    <w:p w14:paraId="05047BD7" w14:textId="3726794A" w:rsidR="007D19C6" w:rsidRDefault="00740EA2" w:rsidP="00135EB8">
      <w:pPr>
        <w:pStyle w:val="BodyText"/>
        <w:rPr>
          <w:lang w:eastAsia="ko-KR"/>
        </w:rPr>
      </w:pPr>
      <w:r>
        <w:rPr>
          <w:lang w:eastAsia="ko-KR"/>
        </w:rPr>
        <w:t>Timing advance is important for SC-FDMA based NB-Io</w:t>
      </w:r>
      <w:r w:rsidR="00566C01">
        <w:rPr>
          <w:lang w:eastAsia="ko-KR"/>
        </w:rPr>
        <w:t xml:space="preserve">T design to </w:t>
      </w:r>
      <w:r>
        <w:rPr>
          <w:lang w:eastAsia="ko-KR"/>
        </w:rPr>
        <w:t xml:space="preserve">help maintain uplink orthogonality. The timing advance command is based on the estimated timing from </w:t>
      </w:r>
      <w:r w:rsidR="00BC6B8C">
        <w:rPr>
          <w:lang w:eastAsia="ko-KR"/>
        </w:rPr>
        <w:t>NB-</w:t>
      </w:r>
      <w:r>
        <w:rPr>
          <w:lang w:eastAsia="ko-KR"/>
        </w:rPr>
        <w:t>PRACH preamble transmission</w:t>
      </w:r>
      <w:r w:rsidR="003A04AE">
        <w:rPr>
          <w:lang w:eastAsia="ko-KR"/>
        </w:rPr>
        <w:t xml:space="preserve"> in random access</w:t>
      </w:r>
      <w:r>
        <w:rPr>
          <w:lang w:eastAsia="ko-KR"/>
        </w:rPr>
        <w:t xml:space="preserve">. The timing estimation accuracy should be within </w:t>
      </w:r>
      <w:r w:rsidR="00A779CA">
        <w:rPr>
          <w:lang w:eastAsia="ko-KR"/>
        </w:rPr>
        <w:t xml:space="preserve">the </w:t>
      </w:r>
      <w:r w:rsidR="00BC6B8C">
        <w:rPr>
          <w:lang w:eastAsia="ko-KR"/>
        </w:rPr>
        <w:t>NB-</w:t>
      </w:r>
      <w:r w:rsidR="00A779CA">
        <w:rPr>
          <w:lang w:eastAsia="ko-KR"/>
        </w:rPr>
        <w:t xml:space="preserve">PUSCH cyclic prefix (CP) or </w:t>
      </w:r>
      <w:r>
        <w:rPr>
          <w:lang w:eastAsia="ko-KR"/>
        </w:rPr>
        <w:t xml:space="preserve">at least with a sufficiently high confidence level (e.g., 99%). </w:t>
      </w:r>
    </w:p>
    <w:p w14:paraId="512341B5" w14:textId="20E6F364" w:rsidR="00FF6C3F" w:rsidRDefault="00FF6C3F" w:rsidP="00135EB8">
      <w:pPr>
        <w:pStyle w:val="BodyText"/>
        <w:rPr>
          <w:lang w:eastAsia="ko-KR"/>
        </w:rPr>
      </w:pPr>
      <w:r>
        <w:rPr>
          <w:lang w:eastAsia="ko-KR"/>
        </w:rPr>
        <w:t xml:space="preserve">Fundamentally, the timing estimation accuracy is inversely proportional to the </w:t>
      </w:r>
      <w:r w:rsidR="00BC6B8C">
        <w:rPr>
          <w:lang w:eastAsia="ko-KR"/>
        </w:rPr>
        <w:t>NB-</w:t>
      </w:r>
      <w:r>
        <w:rPr>
          <w:lang w:eastAsia="ko-KR"/>
        </w:rPr>
        <w:t>PRACH b</w:t>
      </w:r>
      <w:r w:rsidR="00860504">
        <w:rPr>
          <w:lang w:eastAsia="ko-KR"/>
        </w:rPr>
        <w:t xml:space="preserve">andwidth. From </w:t>
      </w:r>
      <w:r w:rsidR="00860504">
        <w:rPr>
          <w:lang w:eastAsia="ko-KR"/>
        </w:rPr>
        <w:fldChar w:fldCharType="begin"/>
      </w:r>
      <w:r w:rsidR="00860504">
        <w:rPr>
          <w:lang w:eastAsia="ko-KR"/>
        </w:rPr>
        <w:instrText xml:space="preserve"> REF _Ref436224900 \h </w:instrText>
      </w:r>
      <w:r w:rsidR="00860504">
        <w:rPr>
          <w:lang w:eastAsia="ko-KR"/>
        </w:rPr>
      </w:r>
      <w:r w:rsidR="00860504">
        <w:rPr>
          <w:lang w:eastAsia="ko-KR"/>
        </w:rPr>
        <w:fldChar w:fldCharType="separate"/>
      </w:r>
      <w:r w:rsidR="00860504">
        <w:t xml:space="preserve">Figure </w:t>
      </w:r>
      <w:r w:rsidR="00860504">
        <w:rPr>
          <w:noProof/>
        </w:rPr>
        <w:t>1</w:t>
      </w:r>
      <w:r w:rsidR="00860504">
        <w:rPr>
          <w:lang w:eastAsia="ko-KR"/>
        </w:rPr>
        <w:fldChar w:fldCharType="end"/>
      </w:r>
      <w:r>
        <w:rPr>
          <w:lang w:eastAsia="ko-KR"/>
        </w:rPr>
        <w:t xml:space="preserve">, we can see that the timing estimation accuracy is [-3.5 us, 3.5 us] with 80 kHz </w:t>
      </w:r>
      <w:r w:rsidR="00BC6B8C">
        <w:rPr>
          <w:lang w:eastAsia="ko-KR"/>
        </w:rPr>
        <w:t>NB-</w:t>
      </w:r>
      <w:r>
        <w:rPr>
          <w:lang w:eastAsia="ko-KR"/>
        </w:rPr>
        <w:t xml:space="preserve">PRACH bandwidth. Reducing further the </w:t>
      </w:r>
      <w:r w:rsidR="00BC6B8C">
        <w:rPr>
          <w:lang w:eastAsia="ko-KR"/>
        </w:rPr>
        <w:t>NB-</w:t>
      </w:r>
      <w:r>
        <w:rPr>
          <w:lang w:eastAsia="ko-KR"/>
        </w:rPr>
        <w:t xml:space="preserve">PRACH bandwidth would reduce the timing estimation accuracy. For example, the timing estimation accuracy is expected to be about [-7 us, 7 us] with 40 kHz </w:t>
      </w:r>
      <w:r w:rsidR="00BC6B8C">
        <w:rPr>
          <w:lang w:eastAsia="ko-KR"/>
        </w:rPr>
        <w:t>NB-</w:t>
      </w:r>
      <w:r>
        <w:rPr>
          <w:lang w:eastAsia="ko-KR"/>
        </w:rPr>
        <w:t xml:space="preserve">PRACH bandwidth.  </w:t>
      </w:r>
    </w:p>
    <w:p w14:paraId="77A50891" w14:textId="72F1FE94" w:rsidR="00A779CA" w:rsidRDefault="00A779CA" w:rsidP="00A779CA">
      <w:pPr>
        <w:pStyle w:val="BodyText"/>
        <w:jc w:val="center"/>
        <w:rPr>
          <w:lang w:eastAsia="ko-KR"/>
        </w:rPr>
      </w:pPr>
      <w:r>
        <w:rPr>
          <w:noProof/>
          <w:lang w:val="en-US"/>
        </w:rPr>
        <w:drawing>
          <wp:inline distT="0" distB="0" distL="0" distR="0" wp14:anchorId="48C06CA0" wp14:editId="28D5A236">
            <wp:extent cx="4381805" cy="3143400"/>
            <wp:effectExtent l="0" t="0" r="0" b="0"/>
            <wp:docPr id="2" name="Picture 2" descr="C:\local_data\MassiveMTC\Matlab\NB_LTE_RACH\Results\NewPRACH\ToA_Standalone_Formats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local_data\MassiveMTC\Matlab\NB_LTE_RACH\Results\NewPRACH\ToA_Standalone_Formats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0865" cy="3142726"/>
                    </a:xfrm>
                    <a:prstGeom prst="rect">
                      <a:avLst/>
                    </a:prstGeom>
                    <a:noFill/>
                    <a:ln>
                      <a:noFill/>
                    </a:ln>
                  </pic:spPr>
                </pic:pic>
              </a:graphicData>
            </a:graphic>
          </wp:inline>
        </w:drawing>
      </w:r>
    </w:p>
    <w:p w14:paraId="26BCAC23" w14:textId="194DE9EC" w:rsidR="00A779CA" w:rsidRDefault="00A779CA" w:rsidP="003000EB">
      <w:pPr>
        <w:pStyle w:val="Caption"/>
      </w:pPr>
      <w:bookmarkStart w:id="2" w:name="_Ref436224900"/>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E330BC">
        <w:t>Distribution of time-of-arrival estimation err</w:t>
      </w:r>
      <w:r>
        <w:t>ors. Blue curve: Format 0 at 0.9</w:t>
      </w:r>
      <w:r w:rsidRPr="00E330BC">
        <w:t xml:space="preserve"> dB</w:t>
      </w:r>
      <w:r>
        <w:t xml:space="preserve"> SNR; red curve: Format 1 at -9</w:t>
      </w:r>
      <w:r w:rsidRPr="00E330BC">
        <w:t>.1 dB SNR.</w:t>
      </w:r>
      <w:r>
        <w:t xml:space="preserve"> Detailed design</w:t>
      </w:r>
      <w:r w:rsidR="00860504">
        <w:t xml:space="preserve"> description</w:t>
      </w:r>
      <w:r>
        <w:t xml:space="preserve"> can be found in </w:t>
      </w:r>
      <w:r>
        <w:fldChar w:fldCharType="begin"/>
      </w:r>
      <w:r>
        <w:instrText xml:space="preserve"> REF _Ref436223730 \r \h </w:instrText>
      </w:r>
      <w:r>
        <w:fldChar w:fldCharType="separate"/>
      </w:r>
      <w:r>
        <w:t>[3]</w:t>
      </w:r>
      <w:r>
        <w:fldChar w:fldCharType="end"/>
      </w:r>
      <w:r>
        <w:t xml:space="preserve">. </w:t>
      </w:r>
      <w:r w:rsidR="00D075B0">
        <w:t>Evaluation assumptions and m</w:t>
      </w:r>
      <w:r>
        <w:t xml:space="preserve">ore evaluation results can be found in </w:t>
      </w:r>
      <w:r w:rsidR="00F63E9E">
        <w:fldChar w:fldCharType="begin"/>
      </w:r>
      <w:r w:rsidR="00F63E9E">
        <w:instrText xml:space="preserve"> REF _Ref436224860 \r \h </w:instrText>
      </w:r>
      <w:r w:rsidR="00F63E9E">
        <w:fldChar w:fldCharType="separate"/>
      </w:r>
      <w:r w:rsidR="00F63E9E">
        <w:t>[4]</w:t>
      </w:r>
      <w:r w:rsidR="00F63E9E">
        <w:fldChar w:fldCharType="end"/>
      </w:r>
      <w:r w:rsidR="00F63E9E">
        <w:fldChar w:fldCharType="begin"/>
      </w:r>
      <w:r w:rsidR="00F63E9E">
        <w:instrText xml:space="preserve"> REF _Ref436224862 \r \h </w:instrText>
      </w:r>
      <w:r w:rsidR="00F63E9E">
        <w:fldChar w:fldCharType="separate"/>
      </w:r>
      <w:r w:rsidR="00F63E9E">
        <w:t>[5]</w:t>
      </w:r>
      <w:r w:rsidR="00F63E9E">
        <w:fldChar w:fldCharType="end"/>
      </w:r>
      <w:r w:rsidR="00F63E9E">
        <w:fldChar w:fldCharType="begin"/>
      </w:r>
      <w:r w:rsidR="00F63E9E">
        <w:instrText xml:space="preserve"> REF _Ref436224863 \r \h </w:instrText>
      </w:r>
      <w:r w:rsidR="00F63E9E">
        <w:fldChar w:fldCharType="separate"/>
      </w:r>
      <w:r w:rsidR="00F63E9E">
        <w:t>[6]</w:t>
      </w:r>
      <w:r w:rsidR="00F63E9E">
        <w:fldChar w:fldCharType="end"/>
      </w:r>
      <w:r w:rsidR="00F63E9E">
        <w:t>.</w:t>
      </w:r>
    </w:p>
    <w:p w14:paraId="77ECD445" w14:textId="44BD300F" w:rsidR="004857BA" w:rsidRDefault="00FF6C3F" w:rsidP="00135EB8">
      <w:pPr>
        <w:pStyle w:val="BodyText"/>
        <w:rPr>
          <w:lang w:eastAsia="ko-KR"/>
        </w:rPr>
      </w:pPr>
      <w:r>
        <w:rPr>
          <w:lang w:eastAsia="ko-KR"/>
        </w:rPr>
        <w:t xml:space="preserve">Though </w:t>
      </w:r>
      <w:r w:rsidR="00C64E99">
        <w:rPr>
          <w:lang w:eastAsia="ko-KR"/>
        </w:rPr>
        <w:t xml:space="preserve">the </w:t>
      </w:r>
      <w:r w:rsidR="00BC6B8C">
        <w:rPr>
          <w:lang w:eastAsia="ko-KR"/>
        </w:rPr>
        <w:t>NB-</w:t>
      </w:r>
      <w:r>
        <w:rPr>
          <w:lang w:eastAsia="ko-KR"/>
        </w:rPr>
        <w:t>PUSCH CP length</w:t>
      </w:r>
      <w:r w:rsidR="00C64E99">
        <w:rPr>
          <w:lang w:eastAsia="ko-KR"/>
        </w:rPr>
        <w:t xml:space="preserve"> for NB-IoT</w:t>
      </w:r>
      <w:r w:rsidR="000B4C2A">
        <w:rPr>
          <w:lang w:eastAsia="ko-KR"/>
        </w:rPr>
        <w:t xml:space="preserve"> has</w:t>
      </w:r>
      <w:r>
        <w:rPr>
          <w:lang w:eastAsia="ko-KR"/>
        </w:rPr>
        <w:t xml:space="preserve"> not</w:t>
      </w:r>
      <w:r w:rsidR="000B4C2A">
        <w:rPr>
          <w:lang w:eastAsia="ko-KR"/>
        </w:rPr>
        <w:t xml:space="preserve"> been</w:t>
      </w:r>
      <w:r>
        <w:rPr>
          <w:lang w:eastAsia="ko-KR"/>
        </w:rPr>
        <w:t xml:space="preserve"> agreed</w:t>
      </w:r>
      <w:r w:rsidR="000B4C2A">
        <w:rPr>
          <w:lang w:eastAsia="ko-KR"/>
        </w:rPr>
        <w:t xml:space="preserve"> yet</w:t>
      </w:r>
      <w:r>
        <w:rPr>
          <w:lang w:eastAsia="ko-KR"/>
        </w:rPr>
        <w:t>, it has been agreed that at least the 15 kHz subcarrier spacing will be used for both single-tone and multi-tone transmissions in the uplink</w:t>
      </w:r>
      <w:r w:rsidR="006A2F4C">
        <w:rPr>
          <w:lang w:eastAsia="ko-KR"/>
        </w:rPr>
        <w:t xml:space="preserve"> </w:t>
      </w:r>
      <w:r w:rsidR="006A2F4C">
        <w:rPr>
          <w:lang w:eastAsia="ko-KR"/>
        </w:rPr>
        <w:fldChar w:fldCharType="begin"/>
      </w:r>
      <w:r w:rsidR="006A2F4C">
        <w:rPr>
          <w:lang w:eastAsia="ko-KR"/>
        </w:rPr>
        <w:instrText xml:space="preserve"> REF _Ref436223503 \r \h </w:instrText>
      </w:r>
      <w:r w:rsidR="006A2F4C">
        <w:rPr>
          <w:lang w:eastAsia="ko-KR"/>
        </w:rPr>
      </w:r>
      <w:r w:rsidR="006A2F4C">
        <w:rPr>
          <w:lang w:eastAsia="ko-KR"/>
        </w:rPr>
        <w:fldChar w:fldCharType="separate"/>
      </w:r>
      <w:r w:rsidR="006A2F4C">
        <w:rPr>
          <w:lang w:eastAsia="ko-KR"/>
        </w:rPr>
        <w:t>[2]</w:t>
      </w:r>
      <w:r w:rsidR="006A2F4C">
        <w:rPr>
          <w:lang w:eastAsia="ko-KR"/>
        </w:rPr>
        <w:fldChar w:fldCharType="end"/>
      </w:r>
      <w:r>
        <w:rPr>
          <w:lang w:eastAsia="ko-KR"/>
        </w:rPr>
        <w:t>. To support inband deployment</w:t>
      </w:r>
      <w:r w:rsidR="00BC6B8C">
        <w:rPr>
          <w:lang w:eastAsia="ko-KR"/>
        </w:rPr>
        <w:t xml:space="preserve"> with better co-existence with LTE using normal CP</w:t>
      </w:r>
      <w:r>
        <w:rPr>
          <w:lang w:eastAsia="ko-KR"/>
        </w:rPr>
        <w:t xml:space="preserve">, 4.7 us </w:t>
      </w:r>
      <w:r w:rsidR="00BC6B8C">
        <w:rPr>
          <w:lang w:eastAsia="ko-KR"/>
        </w:rPr>
        <w:t>NB-</w:t>
      </w:r>
      <w:r>
        <w:rPr>
          <w:lang w:eastAsia="ko-KR"/>
        </w:rPr>
        <w:t>PUSCH CP length is preferred.</w:t>
      </w:r>
      <w:r w:rsidR="004857BA">
        <w:rPr>
          <w:lang w:eastAsia="ko-KR"/>
        </w:rPr>
        <w:t xml:space="preserve"> The timing estimation accuracy with 80 kHz </w:t>
      </w:r>
      <w:r w:rsidR="003A6DFC">
        <w:rPr>
          <w:lang w:eastAsia="ko-KR"/>
        </w:rPr>
        <w:t>NB-</w:t>
      </w:r>
      <w:r w:rsidR="004857BA">
        <w:rPr>
          <w:lang w:eastAsia="ko-KR"/>
        </w:rPr>
        <w:t xml:space="preserve">PRACH bandwidth has been shown to be satisfactory for 15 kHz </w:t>
      </w:r>
      <w:r w:rsidR="003A6DFC">
        <w:rPr>
          <w:lang w:eastAsia="ko-KR"/>
        </w:rPr>
        <w:t>NB-</w:t>
      </w:r>
      <w:r w:rsidR="004857BA">
        <w:rPr>
          <w:lang w:eastAsia="ko-KR"/>
        </w:rPr>
        <w:t xml:space="preserve">PUSCH subcarrier spacing and 4.7 us CP. </w:t>
      </w:r>
    </w:p>
    <w:p w14:paraId="1CDAB090" w14:textId="19CDC676" w:rsidR="004857BA" w:rsidRDefault="004857BA" w:rsidP="00135EB8">
      <w:pPr>
        <w:pStyle w:val="BodyText"/>
        <w:rPr>
          <w:lang w:eastAsia="ko-KR"/>
        </w:rPr>
      </w:pPr>
      <w:r>
        <w:rPr>
          <w:lang w:eastAsia="ko-KR"/>
        </w:rPr>
        <w:t xml:space="preserve">If less than 80 kHz </w:t>
      </w:r>
      <w:r w:rsidR="003A6DFC">
        <w:rPr>
          <w:lang w:eastAsia="ko-KR"/>
        </w:rPr>
        <w:t>NB-</w:t>
      </w:r>
      <w:r>
        <w:rPr>
          <w:lang w:eastAsia="ko-KR"/>
        </w:rPr>
        <w:t xml:space="preserve">PRACH bandwidth is used, the impact of the degraded timing estimation accuracy on </w:t>
      </w:r>
      <w:r w:rsidR="003A6DFC">
        <w:rPr>
          <w:lang w:eastAsia="ko-KR"/>
        </w:rPr>
        <w:t>NB-</w:t>
      </w:r>
      <w:r>
        <w:rPr>
          <w:lang w:eastAsia="ko-KR"/>
        </w:rPr>
        <w:t xml:space="preserve">PUSCH performance should be evaluated. In contrary, if higher than 80 kHz </w:t>
      </w:r>
      <w:r w:rsidR="003A6DFC">
        <w:rPr>
          <w:lang w:eastAsia="ko-KR"/>
        </w:rPr>
        <w:t>NB-</w:t>
      </w:r>
      <w:r>
        <w:rPr>
          <w:lang w:eastAsia="ko-KR"/>
        </w:rPr>
        <w:t xml:space="preserve">PRACH bandwidth is used, the timing estimation accuracy would be satisfactory for NB-IoT </w:t>
      </w:r>
      <w:r w:rsidR="003A6DFC">
        <w:rPr>
          <w:lang w:eastAsia="ko-KR"/>
        </w:rPr>
        <w:t>NB-</w:t>
      </w:r>
      <w:r>
        <w:rPr>
          <w:lang w:eastAsia="ko-KR"/>
        </w:rPr>
        <w:t>PUSCH transmissions</w:t>
      </w:r>
      <w:r w:rsidR="00ED509E">
        <w:rPr>
          <w:lang w:eastAsia="ko-KR"/>
        </w:rPr>
        <w:t xml:space="preserve"> even with a CP as short as 4.7 us</w:t>
      </w:r>
      <w:r>
        <w:rPr>
          <w:lang w:eastAsia="ko-KR"/>
        </w:rPr>
        <w:t>.</w:t>
      </w:r>
    </w:p>
    <w:p w14:paraId="035F9103" w14:textId="77777777" w:rsidR="004857BA" w:rsidRDefault="004857BA" w:rsidP="00135EB8">
      <w:pPr>
        <w:pStyle w:val="BodyText"/>
        <w:rPr>
          <w:lang w:eastAsia="ko-KR"/>
        </w:rPr>
      </w:pPr>
    </w:p>
    <w:p w14:paraId="4D90C7EA" w14:textId="528433AF" w:rsidR="00740EA2" w:rsidRPr="004857BA" w:rsidRDefault="004857BA" w:rsidP="004857BA">
      <w:pPr>
        <w:pStyle w:val="BodyText"/>
        <w:rPr>
          <w:i/>
          <w:lang w:eastAsia="ko-KR"/>
        </w:rPr>
      </w:pPr>
      <w:r w:rsidRPr="004857BA">
        <w:rPr>
          <w:i/>
          <w:lang w:eastAsia="ko-KR"/>
        </w:rPr>
        <w:t>Proposal 1: Use 80 kHz bandwidth as a benchmark design</w:t>
      </w:r>
      <w:r w:rsidR="00AB41A5">
        <w:rPr>
          <w:i/>
          <w:lang w:eastAsia="ko-KR"/>
        </w:rPr>
        <w:t xml:space="preserve"> choice</w:t>
      </w:r>
      <w:r w:rsidRPr="004857BA">
        <w:rPr>
          <w:i/>
          <w:lang w:eastAsia="ko-KR"/>
        </w:rPr>
        <w:t xml:space="preserve"> for </w:t>
      </w:r>
      <w:r w:rsidRPr="004857BA">
        <w:rPr>
          <w:i/>
        </w:rPr>
        <w:t xml:space="preserve">Zadoff-Chu sequences based </w:t>
      </w:r>
      <w:r w:rsidR="003A6DFC">
        <w:rPr>
          <w:i/>
        </w:rPr>
        <w:t>NB-</w:t>
      </w:r>
      <w:r w:rsidRPr="004857BA">
        <w:rPr>
          <w:i/>
        </w:rPr>
        <w:t>PRACH</w:t>
      </w:r>
      <w:r w:rsidR="00963176">
        <w:rPr>
          <w:i/>
        </w:rPr>
        <w:t xml:space="preserve"> in</w:t>
      </w:r>
      <w:r w:rsidR="00625F80">
        <w:rPr>
          <w:i/>
        </w:rPr>
        <w:t xml:space="preserve"> NB-IoT</w:t>
      </w:r>
      <w:r w:rsidRPr="004857BA">
        <w:rPr>
          <w:i/>
          <w:lang w:eastAsia="ko-KR"/>
        </w:rPr>
        <w:t>.</w:t>
      </w:r>
    </w:p>
    <w:p w14:paraId="1CA2A90A" w14:textId="357F8716" w:rsidR="004857BA" w:rsidRDefault="004857BA" w:rsidP="004857BA">
      <w:pPr>
        <w:pStyle w:val="BodyText"/>
        <w:rPr>
          <w:i/>
          <w:lang w:eastAsia="ko-KR"/>
        </w:rPr>
      </w:pPr>
      <w:r w:rsidRPr="004857BA">
        <w:rPr>
          <w:i/>
          <w:lang w:eastAsia="ko-KR"/>
        </w:rPr>
        <w:lastRenderedPageBreak/>
        <w:t xml:space="preserve">Proposal 2: If less than 80 kHz </w:t>
      </w:r>
      <w:r w:rsidR="003A6DFC">
        <w:rPr>
          <w:i/>
          <w:lang w:eastAsia="ko-KR"/>
        </w:rPr>
        <w:t>NB-</w:t>
      </w:r>
      <w:r w:rsidRPr="004857BA">
        <w:rPr>
          <w:i/>
          <w:lang w:eastAsia="ko-KR"/>
        </w:rPr>
        <w:t xml:space="preserve">PRACH bandwidth is used, the impact of the degraded timing estimation accuracy on </w:t>
      </w:r>
      <w:r w:rsidR="003A6DFC">
        <w:rPr>
          <w:i/>
          <w:lang w:eastAsia="ko-KR"/>
        </w:rPr>
        <w:t>NB-</w:t>
      </w:r>
      <w:r w:rsidRPr="004857BA">
        <w:rPr>
          <w:i/>
          <w:lang w:eastAsia="ko-KR"/>
        </w:rPr>
        <w:t>PUSCH performance should be evaluated.</w:t>
      </w:r>
    </w:p>
    <w:p w14:paraId="7EA187BF" w14:textId="77777777" w:rsidR="00573F6F" w:rsidRPr="00573F6F" w:rsidRDefault="00573F6F" w:rsidP="00573F6F"/>
    <w:p w14:paraId="5EECFF11" w14:textId="11842A15" w:rsidR="00637A2C" w:rsidRDefault="006843DD" w:rsidP="00573F6F">
      <w:pPr>
        <w:pStyle w:val="Heading2"/>
      </w:pPr>
      <w:r>
        <w:t xml:space="preserve">Preamble </w:t>
      </w:r>
      <w:r w:rsidR="002860F4">
        <w:t>Length</w:t>
      </w:r>
      <w:r w:rsidR="00135EB8">
        <w:t>s</w:t>
      </w:r>
    </w:p>
    <w:p w14:paraId="037D79D3" w14:textId="786E26DD" w:rsidR="001839DA" w:rsidRDefault="00637A2C" w:rsidP="001839DA">
      <w:r>
        <w:t xml:space="preserve">Zadoff-Chu sequences based </w:t>
      </w:r>
      <w:r w:rsidR="003A6DFC">
        <w:rPr>
          <w:lang w:eastAsia="ko-KR"/>
        </w:rPr>
        <w:t>NB-</w:t>
      </w:r>
      <w:r>
        <w:t>PRACH transmission can be considered as a</w:t>
      </w:r>
      <w:r w:rsidR="001C34B5">
        <w:t xml:space="preserve"> type of</w:t>
      </w:r>
      <w:r>
        <w:t xml:space="preserve"> multi-tone transmission. </w:t>
      </w:r>
      <w:r w:rsidR="001C34B5">
        <w:t>The duration of a preamble is inversely</w:t>
      </w:r>
      <w:r w:rsidR="009351D5">
        <w:t xml:space="preserve"> proportional to the tone spacing. For example, the basic</w:t>
      </w:r>
      <w:r w:rsidR="000F4AC4">
        <w:t xml:space="preserve"> LTE</w:t>
      </w:r>
      <w:r w:rsidR="009351D5">
        <w:t xml:space="preserve"> PRACH </w:t>
      </w:r>
      <w:r w:rsidR="000F4AC4">
        <w:t xml:space="preserve">subcarrier spacing is 1.25 kHz, translating into a </w:t>
      </w:r>
      <w:r w:rsidR="009351D5">
        <w:t xml:space="preserve">preamble length </w:t>
      </w:r>
      <w:r w:rsidR="000F4AC4">
        <w:t>of 0.8 ms</w:t>
      </w:r>
      <w:r w:rsidR="009351D5">
        <w:t>.</w:t>
      </w:r>
      <w:r w:rsidR="000F4AC4">
        <w:t xml:space="preserve"> </w:t>
      </w:r>
    </w:p>
    <w:p w14:paraId="17F9C527" w14:textId="4DC62906" w:rsidR="00C36CFA" w:rsidRDefault="001839DA" w:rsidP="0091129F">
      <w:pPr>
        <w:pStyle w:val="BodyText"/>
        <w:rPr>
          <w:lang w:eastAsia="ko-KR"/>
        </w:rPr>
      </w:pPr>
      <w:r>
        <w:rPr>
          <w:lang w:eastAsia="ko-KR"/>
        </w:rPr>
        <w:t>On the one hand, large subcarrier spacing is desirable to make the preamble transmission robust to carrier frequency offset (CFO) and Doppler shift. On the other hand, longer Zadoff-Chu sequences based preambles are preferred. This is because orthogonal preambles are derived by applying cyclic shifts to a base Zadoff-Chu sequence. In LTE, different cyclic</w:t>
      </w:r>
      <w:r w:rsidR="00CE76DE">
        <w:rPr>
          <w:lang w:eastAsia="ko-KR"/>
        </w:rPr>
        <w:t xml:space="preserve"> shifts are applied to cells </w:t>
      </w:r>
      <w:r>
        <w:rPr>
          <w:lang w:eastAsia="ko-KR"/>
        </w:rPr>
        <w:t xml:space="preserve">in different size ranges. For a given cell size (i.e., a given cyclic shift), the longer the preambles, the more the orthogonal preambles. With a given bandwidth for </w:t>
      </w:r>
      <w:r w:rsidR="00957F02">
        <w:rPr>
          <w:lang w:eastAsia="ko-KR"/>
        </w:rPr>
        <w:t>NB-</w:t>
      </w:r>
      <w:r>
        <w:rPr>
          <w:lang w:eastAsia="ko-KR"/>
        </w:rPr>
        <w:t xml:space="preserve">PRACH, a tradeoff exists between </w:t>
      </w:r>
      <w:r w:rsidR="00957F02">
        <w:rPr>
          <w:lang w:eastAsia="ko-KR"/>
        </w:rPr>
        <w:t>NB-</w:t>
      </w:r>
      <w:r>
        <w:rPr>
          <w:lang w:eastAsia="ko-KR"/>
        </w:rPr>
        <w:t xml:space="preserve">PRACH subcarrier spacing and preamble length. </w:t>
      </w:r>
    </w:p>
    <w:p w14:paraId="7FB74720" w14:textId="653867DA" w:rsidR="001839DA" w:rsidRDefault="00C36CFA" w:rsidP="00C36CFA">
      <w:pPr>
        <w:pStyle w:val="BodyText"/>
        <w:rPr>
          <w:lang w:eastAsia="ko-KR"/>
        </w:rPr>
      </w:pPr>
      <w:r>
        <w:rPr>
          <w:lang w:eastAsia="ko-KR"/>
        </w:rPr>
        <w:t>Furthermore, for two Zadoff-Chu sequences with roots u1 and u2 and a given length of the sequences, the ratio of the peak autocorrelation and the cross correlation is proportional to the square root of the length of the sequences. This implies that, the longer the sequences, the more resistant the random access performance to the near-far problem.</w:t>
      </w:r>
    </w:p>
    <w:p w14:paraId="5C98AA48" w14:textId="4620ACE3" w:rsidR="002818AC" w:rsidRDefault="0091129F" w:rsidP="0091129F">
      <w:pPr>
        <w:pStyle w:val="BodyText"/>
        <w:rPr>
          <w:lang w:eastAsia="ko-KR"/>
        </w:rPr>
      </w:pPr>
      <w:r>
        <w:t xml:space="preserve">It has been proposed </w:t>
      </w:r>
      <w:r w:rsidRPr="00E330BC">
        <w:rPr>
          <w:lang w:eastAsia="ko-KR"/>
        </w:rPr>
        <w:t xml:space="preserve">to </w:t>
      </w:r>
      <w:r>
        <w:rPr>
          <w:lang w:eastAsia="ko-KR"/>
        </w:rPr>
        <w:t xml:space="preserve">use </w:t>
      </w:r>
      <w:r w:rsidRPr="00E330BC">
        <w:rPr>
          <w:lang w:eastAsia="ko-KR"/>
        </w:rPr>
        <w:t>312.5 Hz</w:t>
      </w:r>
      <w:r>
        <w:rPr>
          <w:lang w:eastAsia="ko-KR"/>
        </w:rPr>
        <w:t xml:space="preserve"> tone spacing for</w:t>
      </w:r>
      <w:r w:rsidR="002818AC">
        <w:rPr>
          <w:lang w:eastAsia="ko-KR"/>
        </w:rPr>
        <w:t xml:space="preserve"> </w:t>
      </w:r>
      <w:r w:rsidR="002818AC">
        <w:t>Zadoff-Chu sequences based PRACH for</w:t>
      </w:r>
      <w:r w:rsidR="0034618D">
        <w:t xml:space="preserve"> FDD</w:t>
      </w:r>
      <w:r>
        <w:rPr>
          <w:lang w:eastAsia="ko-KR"/>
        </w:rPr>
        <w:t xml:space="preserve"> NB-IoT</w:t>
      </w:r>
      <w:r w:rsidR="00CE76DE">
        <w:rPr>
          <w:lang w:eastAsia="ko-KR"/>
        </w:rPr>
        <w:t xml:space="preserve"> </w:t>
      </w:r>
      <w:r w:rsidR="00CE76DE">
        <w:rPr>
          <w:lang w:eastAsia="ko-KR"/>
        </w:rPr>
        <w:fldChar w:fldCharType="begin"/>
      </w:r>
      <w:r w:rsidR="00CE76DE">
        <w:rPr>
          <w:lang w:eastAsia="ko-KR"/>
        </w:rPr>
        <w:instrText xml:space="preserve"> REF _Ref436223730 \r \h </w:instrText>
      </w:r>
      <w:r w:rsidR="00CE76DE">
        <w:rPr>
          <w:lang w:eastAsia="ko-KR"/>
        </w:rPr>
      </w:r>
      <w:r w:rsidR="00CE76DE">
        <w:rPr>
          <w:lang w:eastAsia="ko-KR"/>
        </w:rPr>
        <w:fldChar w:fldCharType="separate"/>
      </w:r>
      <w:r w:rsidR="00CE76DE">
        <w:rPr>
          <w:lang w:eastAsia="ko-KR"/>
        </w:rPr>
        <w:t>[3]</w:t>
      </w:r>
      <w:r w:rsidR="00CE76DE">
        <w:rPr>
          <w:lang w:eastAsia="ko-KR"/>
        </w:rPr>
        <w:fldChar w:fldCharType="end"/>
      </w:r>
      <w:r w:rsidR="002818AC">
        <w:rPr>
          <w:lang w:eastAsia="ko-KR"/>
        </w:rPr>
        <w:t>. The corresponding preamble length is 3.2 us</w:t>
      </w:r>
      <w:r w:rsidR="0034618D">
        <w:rPr>
          <w:lang w:eastAsia="ko-KR"/>
        </w:rPr>
        <w:t xml:space="preserve">, as illustrated in </w:t>
      </w:r>
      <w:r w:rsidR="0034618D">
        <w:rPr>
          <w:lang w:eastAsia="ko-KR"/>
        </w:rPr>
        <w:fldChar w:fldCharType="begin"/>
      </w:r>
      <w:r w:rsidR="0034618D">
        <w:rPr>
          <w:lang w:eastAsia="ko-KR"/>
        </w:rPr>
        <w:instrText xml:space="preserve"> REF _Ref436140955 \h </w:instrText>
      </w:r>
      <w:r w:rsidR="0034618D">
        <w:rPr>
          <w:lang w:eastAsia="ko-KR"/>
        </w:rPr>
      </w:r>
      <w:r w:rsidR="0034618D">
        <w:rPr>
          <w:lang w:eastAsia="ko-KR"/>
        </w:rPr>
        <w:fldChar w:fldCharType="separate"/>
      </w:r>
      <w:r w:rsidR="0034618D">
        <w:t xml:space="preserve">Figure </w:t>
      </w:r>
      <w:r w:rsidR="0034618D">
        <w:rPr>
          <w:noProof/>
        </w:rPr>
        <w:t>2</w:t>
      </w:r>
      <w:r w:rsidR="0034618D">
        <w:rPr>
          <w:lang w:eastAsia="ko-KR"/>
        </w:rPr>
        <w:fldChar w:fldCharType="end"/>
      </w:r>
      <w:r w:rsidR="0034618D">
        <w:rPr>
          <w:lang w:eastAsia="ko-KR"/>
        </w:rPr>
        <w:t>.</w:t>
      </w:r>
      <w:r w:rsidR="002818AC">
        <w:rPr>
          <w:lang w:eastAsia="ko-KR"/>
        </w:rPr>
        <w:t xml:space="preserve"> With 80 kHz </w:t>
      </w:r>
      <w:r w:rsidR="00957F02">
        <w:rPr>
          <w:lang w:eastAsia="ko-KR"/>
        </w:rPr>
        <w:t>NB-</w:t>
      </w:r>
      <w:r w:rsidR="002818AC">
        <w:rPr>
          <w:lang w:eastAsia="ko-KR"/>
        </w:rPr>
        <w:t>PRACH bandwidth, t</w:t>
      </w:r>
      <w:r w:rsidR="002818AC" w:rsidRPr="00E330BC">
        <w:rPr>
          <w:lang w:eastAsia="ko-KR"/>
        </w:rPr>
        <w:t xml:space="preserve">he maximum preamble </w:t>
      </w:r>
      <w:r w:rsidR="002818AC">
        <w:rPr>
          <w:lang w:eastAsia="ko-KR"/>
        </w:rPr>
        <w:t xml:space="preserve">sequence </w:t>
      </w:r>
      <w:r w:rsidR="002818AC" w:rsidRPr="00E330BC">
        <w:rPr>
          <w:lang w:eastAsia="ko-KR"/>
        </w:rPr>
        <w:t xml:space="preserve">length is thus </w:t>
      </w:r>
      <w:r w:rsidR="002818AC">
        <w:rPr>
          <w:lang w:eastAsia="ko-KR"/>
        </w:rPr>
        <w:t>80</w:t>
      </w:r>
      <w:r w:rsidR="002818AC" w:rsidRPr="00E330BC">
        <w:rPr>
          <w:lang w:eastAsia="ko-KR"/>
        </w:rPr>
        <w:t>/0.3125=</w:t>
      </w:r>
      <w:r w:rsidR="002818AC">
        <w:rPr>
          <w:lang w:eastAsia="ko-KR"/>
        </w:rPr>
        <w:t>256</w:t>
      </w:r>
      <w:r w:rsidR="002818AC" w:rsidRPr="00E330BC">
        <w:rPr>
          <w:lang w:eastAsia="ko-KR"/>
        </w:rPr>
        <w:t xml:space="preserve">. To facilitate preamble sequence selection, prime-length Zadoff-Chu sequences are preferred. Since the largest prime number less than </w:t>
      </w:r>
      <w:r w:rsidR="002818AC">
        <w:rPr>
          <w:lang w:eastAsia="ko-KR"/>
        </w:rPr>
        <w:t>25</w:t>
      </w:r>
      <w:r w:rsidR="002818AC" w:rsidRPr="00E330BC">
        <w:rPr>
          <w:lang w:eastAsia="ko-KR"/>
        </w:rPr>
        <w:t xml:space="preserve">6 is </w:t>
      </w:r>
      <w:r w:rsidR="002818AC">
        <w:rPr>
          <w:lang w:eastAsia="ko-KR"/>
        </w:rPr>
        <w:t>25</w:t>
      </w:r>
      <w:r w:rsidR="002818AC" w:rsidRPr="00E330BC">
        <w:rPr>
          <w:lang w:eastAsia="ko-KR"/>
        </w:rPr>
        <w:t>1, it is proposed to use length-</w:t>
      </w:r>
      <w:r w:rsidR="002818AC">
        <w:rPr>
          <w:lang w:eastAsia="ko-KR"/>
        </w:rPr>
        <w:t>25</w:t>
      </w:r>
      <w:r w:rsidR="002818AC" w:rsidRPr="00E330BC">
        <w:rPr>
          <w:lang w:eastAsia="ko-KR"/>
        </w:rPr>
        <w:t>1 Zadoff-Chu sequences as preambles.</w:t>
      </w:r>
    </w:p>
    <w:p w14:paraId="462067CF" w14:textId="77777777" w:rsidR="00CE76DE" w:rsidRDefault="00CE76DE" w:rsidP="00CE76DE">
      <w:pPr>
        <w:pStyle w:val="BodyText"/>
        <w:jc w:val="center"/>
        <w:rPr>
          <w:lang w:eastAsia="ko-KR"/>
        </w:rPr>
      </w:pPr>
      <w:r>
        <w:rPr>
          <w:noProof/>
          <w:lang w:val="en-US"/>
        </w:rPr>
        <w:drawing>
          <wp:inline distT="0" distB="0" distL="0" distR="0" wp14:anchorId="4F3B6E55" wp14:editId="36049D94">
            <wp:extent cx="4715123" cy="22124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711972" cy="2211002"/>
                    </a:xfrm>
                    <a:prstGeom prst="rect">
                      <a:avLst/>
                    </a:prstGeom>
                  </pic:spPr>
                </pic:pic>
              </a:graphicData>
            </a:graphic>
          </wp:inline>
        </w:drawing>
      </w:r>
    </w:p>
    <w:p w14:paraId="0DDBD8FF" w14:textId="161AAFB9" w:rsidR="00CE76DE" w:rsidRDefault="00CE76DE" w:rsidP="00CE76DE">
      <w:pPr>
        <w:pStyle w:val="Caption"/>
        <w:rPr>
          <w:lang w:eastAsia="ko-KR"/>
        </w:rPr>
      </w:pPr>
      <w:bookmarkStart w:id="3" w:name="_Ref436140955"/>
      <w:r>
        <w:t xml:space="preserve">Figure </w:t>
      </w:r>
      <w:r>
        <w:fldChar w:fldCharType="begin"/>
      </w:r>
      <w:r>
        <w:instrText xml:space="preserve"> SEQ Figure \* ARABIC </w:instrText>
      </w:r>
      <w:r>
        <w:fldChar w:fldCharType="separate"/>
      </w:r>
      <w:r>
        <w:rPr>
          <w:noProof/>
        </w:rPr>
        <w:t>2</w:t>
      </w:r>
      <w:r>
        <w:fldChar w:fldCharType="end"/>
      </w:r>
      <w:bookmarkEnd w:id="3"/>
      <w:r>
        <w:t xml:space="preserve">: Zadoff-Chu sequences based </w:t>
      </w:r>
      <w:r w:rsidR="00514F33">
        <w:t>NB-</w:t>
      </w:r>
      <w:r>
        <w:t xml:space="preserve">PRACH design for FDD </w:t>
      </w:r>
    </w:p>
    <w:p w14:paraId="239BE827" w14:textId="54822421" w:rsidR="002818AC" w:rsidRDefault="002818AC" w:rsidP="0091129F">
      <w:pPr>
        <w:pStyle w:val="BodyText"/>
        <w:rPr>
          <w:lang w:eastAsia="ko-KR"/>
        </w:rPr>
      </w:pPr>
      <w:r>
        <w:rPr>
          <w:lang w:eastAsia="ko-KR"/>
        </w:rPr>
        <w:t>Simulation results have shown that this basic 3</w:t>
      </w:r>
      <w:r w:rsidR="00DB7540">
        <w:rPr>
          <w:lang w:eastAsia="ko-KR"/>
        </w:rPr>
        <w:t>.2 ms preamble length can achieve</w:t>
      </w:r>
      <w:r>
        <w:rPr>
          <w:lang w:eastAsia="ko-KR"/>
        </w:rPr>
        <w:t xml:space="preserve"> very high detection rate and low false alarm rate</w:t>
      </w:r>
      <w:r w:rsidR="00F9769E">
        <w:rPr>
          <w:lang w:eastAsia="ko-KR"/>
        </w:rPr>
        <w:t xml:space="preserve"> at the benchmark 144 dB GPRS coverage</w:t>
      </w:r>
      <w:r w:rsidR="00754828">
        <w:rPr>
          <w:lang w:eastAsia="ko-KR"/>
        </w:rPr>
        <w:t xml:space="preserve">, as shown in </w:t>
      </w:r>
      <w:r w:rsidR="00754828">
        <w:rPr>
          <w:lang w:eastAsia="ko-KR"/>
        </w:rPr>
        <w:fldChar w:fldCharType="begin"/>
      </w:r>
      <w:r w:rsidR="00754828">
        <w:rPr>
          <w:lang w:eastAsia="ko-KR"/>
        </w:rPr>
        <w:instrText xml:space="preserve"> REF _Ref436139581 \h </w:instrText>
      </w:r>
      <w:r w:rsidR="00754828">
        <w:rPr>
          <w:lang w:eastAsia="ko-KR"/>
        </w:rPr>
      </w:r>
      <w:r w:rsidR="00754828">
        <w:rPr>
          <w:lang w:eastAsia="ko-KR"/>
        </w:rPr>
        <w:fldChar w:fldCharType="separate"/>
      </w:r>
      <w:r w:rsidR="00A779CA">
        <w:t xml:space="preserve">Table </w:t>
      </w:r>
      <w:r w:rsidR="00A779CA">
        <w:rPr>
          <w:noProof/>
        </w:rPr>
        <w:t>1</w:t>
      </w:r>
      <w:r w:rsidR="00754828">
        <w:rPr>
          <w:lang w:eastAsia="ko-KR"/>
        </w:rPr>
        <w:fldChar w:fldCharType="end"/>
      </w:r>
      <w:r w:rsidR="00754828">
        <w:rPr>
          <w:lang w:eastAsia="ko-KR"/>
        </w:rPr>
        <w:t>. (</w:t>
      </w:r>
      <w:r w:rsidR="003F3ACB">
        <w:rPr>
          <w:lang w:eastAsia="ko-KR"/>
        </w:rPr>
        <w:t>Simulation assumptions and m</w:t>
      </w:r>
      <w:r w:rsidR="00754828">
        <w:rPr>
          <w:lang w:eastAsia="ko-KR"/>
        </w:rPr>
        <w:t>o</w:t>
      </w:r>
      <w:r w:rsidR="00CE76DE">
        <w:rPr>
          <w:lang w:eastAsia="ko-KR"/>
        </w:rPr>
        <w:t xml:space="preserve">re results can be found in </w:t>
      </w:r>
      <w:r w:rsidR="00CE76DE">
        <w:rPr>
          <w:lang w:eastAsia="ko-KR"/>
        </w:rPr>
        <w:fldChar w:fldCharType="begin"/>
      </w:r>
      <w:r w:rsidR="00CE76DE">
        <w:rPr>
          <w:lang w:eastAsia="ko-KR"/>
        </w:rPr>
        <w:instrText xml:space="preserve"> REF _Ref436223730 \r \h </w:instrText>
      </w:r>
      <w:r w:rsidR="00CE76DE">
        <w:rPr>
          <w:lang w:eastAsia="ko-KR"/>
        </w:rPr>
      </w:r>
      <w:r w:rsidR="00CE76DE">
        <w:rPr>
          <w:lang w:eastAsia="ko-KR"/>
        </w:rPr>
        <w:fldChar w:fldCharType="separate"/>
      </w:r>
      <w:r w:rsidR="00CE76DE">
        <w:rPr>
          <w:lang w:eastAsia="ko-KR"/>
        </w:rPr>
        <w:t>[3]</w:t>
      </w:r>
      <w:r w:rsidR="00CE76DE">
        <w:rPr>
          <w:lang w:eastAsia="ko-KR"/>
        </w:rPr>
        <w:fldChar w:fldCharType="end"/>
      </w:r>
      <w:r w:rsidR="00CE76DE">
        <w:rPr>
          <w:lang w:eastAsia="ko-KR"/>
        </w:rPr>
        <w:fldChar w:fldCharType="begin"/>
      </w:r>
      <w:r w:rsidR="00CE76DE">
        <w:rPr>
          <w:lang w:eastAsia="ko-KR"/>
        </w:rPr>
        <w:instrText xml:space="preserve"> REF _Ref436224860 \r \h </w:instrText>
      </w:r>
      <w:r w:rsidR="00CE76DE">
        <w:rPr>
          <w:lang w:eastAsia="ko-KR"/>
        </w:rPr>
      </w:r>
      <w:r w:rsidR="00CE76DE">
        <w:rPr>
          <w:lang w:eastAsia="ko-KR"/>
        </w:rPr>
        <w:fldChar w:fldCharType="separate"/>
      </w:r>
      <w:r w:rsidR="00CE76DE">
        <w:rPr>
          <w:lang w:eastAsia="ko-KR"/>
        </w:rPr>
        <w:t>[4]</w:t>
      </w:r>
      <w:r w:rsidR="00CE76DE">
        <w:rPr>
          <w:lang w:eastAsia="ko-KR"/>
        </w:rPr>
        <w:fldChar w:fldCharType="end"/>
      </w:r>
      <w:r w:rsidR="00CE76DE">
        <w:rPr>
          <w:lang w:eastAsia="ko-KR"/>
        </w:rPr>
        <w:fldChar w:fldCharType="begin"/>
      </w:r>
      <w:r w:rsidR="00CE76DE">
        <w:rPr>
          <w:lang w:eastAsia="ko-KR"/>
        </w:rPr>
        <w:instrText xml:space="preserve"> REF _Ref436224862 \r \h </w:instrText>
      </w:r>
      <w:r w:rsidR="00CE76DE">
        <w:rPr>
          <w:lang w:eastAsia="ko-KR"/>
        </w:rPr>
      </w:r>
      <w:r w:rsidR="00CE76DE">
        <w:rPr>
          <w:lang w:eastAsia="ko-KR"/>
        </w:rPr>
        <w:fldChar w:fldCharType="separate"/>
      </w:r>
      <w:r w:rsidR="00CE76DE">
        <w:rPr>
          <w:lang w:eastAsia="ko-KR"/>
        </w:rPr>
        <w:t>[5]</w:t>
      </w:r>
      <w:r w:rsidR="00CE76DE">
        <w:rPr>
          <w:lang w:eastAsia="ko-KR"/>
        </w:rPr>
        <w:fldChar w:fldCharType="end"/>
      </w:r>
      <w:r w:rsidR="00CE76DE">
        <w:rPr>
          <w:lang w:eastAsia="ko-KR"/>
        </w:rPr>
        <w:fldChar w:fldCharType="begin"/>
      </w:r>
      <w:r w:rsidR="00CE76DE">
        <w:rPr>
          <w:lang w:eastAsia="ko-KR"/>
        </w:rPr>
        <w:instrText xml:space="preserve"> REF _Ref436224863 \r \h </w:instrText>
      </w:r>
      <w:r w:rsidR="00CE76DE">
        <w:rPr>
          <w:lang w:eastAsia="ko-KR"/>
        </w:rPr>
      </w:r>
      <w:r w:rsidR="00CE76DE">
        <w:rPr>
          <w:lang w:eastAsia="ko-KR"/>
        </w:rPr>
        <w:fldChar w:fldCharType="separate"/>
      </w:r>
      <w:r w:rsidR="00CE76DE">
        <w:rPr>
          <w:lang w:eastAsia="ko-KR"/>
        </w:rPr>
        <w:t>[6]</w:t>
      </w:r>
      <w:r w:rsidR="00CE76DE">
        <w:rPr>
          <w:lang w:eastAsia="ko-KR"/>
        </w:rPr>
        <w:fldChar w:fldCharType="end"/>
      </w:r>
      <w:r w:rsidR="00754828">
        <w:rPr>
          <w:lang w:eastAsia="ko-KR"/>
        </w:rPr>
        <w:t>.)</w:t>
      </w:r>
    </w:p>
    <w:p w14:paraId="7C52AF54" w14:textId="57E71DEA" w:rsidR="002818AC" w:rsidRDefault="002818AC" w:rsidP="0091129F">
      <w:pPr>
        <w:pStyle w:val="BodyText"/>
        <w:rPr>
          <w:lang w:eastAsia="ko-KR"/>
        </w:rPr>
      </w:pPr>
      <w:r>
        <w:rPr>
          <w:lang w:eastAsia="ko-KR"/>
        </w:rPr>
        <w:t xml:space="preserve">For users in enhanced coverage (e.g., robust coverage with 154 dB MCL), the preamble can consist of </w:t>
      </w:r>
      <w:r w:rsidR="000D4529">
        <w:rPr>
          <w:lang w:eastAsia="ko-KR"/>
        </w:rPr>
        <w:t xml:space="preserve">a number of repetitions of the basic </w:t>
      </w:r>
      <w:r w:rsidR="0001002B">
        <w:rPr>
          <w:lang w:eastAsia="ko-KR"/>
        </w:rPr>
        <w:t xml:space="preserve">sequence, as illustrated in </w:t>
      </w:r>
      <w:r w:rsidR="0001002B">
        <w:rPr>
          <w:lang w:eastAsia="ko-KR"/>
        </w:rPr>
        <w:fldChar w:fldCharType="begin"/>
      </w:r>
      <w:r w:rsidR="0001002B">
        <w:rPr>
          <w:lang w:eastAsia="ko-KR"/>
        </w:rPr>
        <w:instrText xml:space="preserve"> REF _Ref436140955 \h </w:instrText>
      </w:r>
      <w:r w:rsidR="0001002B">
        <w:rPr>
          <w:lang w:eastAsia="ko-KR"/>
        </w:rPr>
      </w:r>
      <w:r w:rsidR="0001002B">
        <w:rPr>
          <w:lang w:eastAsia="ko-KR"/>
        </w:rPr>
        <w:fldChar w:fldCharType="separate"/>
      </w:r>
      <w:r w:rsidR="00A779CA">
        <w:t xml:space="preserve">Figure </w:t>
      </w:r>
      <w:r w:rsidR="00A779CA">
        <w:rPr>
          <w:noProof/>
        </w:rPr>
        <w:t>2</w:t>
      </w:r>
      <w:r w:rsidR="0001002B">
        <w:rPr>
          <w:lang w:eastAsia="ko-KR"/>
        </w:rPr>
        <w:fldChar w:fldCharType="end"/>
      </w:r>
      <w:r w:rsidR="0001002B">
        <w:rPr>
          <w:lang w:eastAsia="ko-KR"/>
        </w:rPr>
        <w:t xml:space="preserve">. For example, </w:t>
      </w:r>
      <w:r w:rsidR="0001002B">
        <w:rPr>
          <w:lang w:eastAsia="ko-KR"/>
        </w:rPr>
        <w:fldChar w:fldCharType="begin"/>
      </w:r>
      <w:r w:rsidR="0001002B">
        <w:rPr>
          <w:lang w:eastAsia="ko-KR"/>
        </w:rPr>
        <w:instrText xml:space="preserve"> REF _Ref436139581 \h </w:instrText>
      </w:r>
      <w:r w:rsidR="0001002B">
        <w:rPr>
          <w:lang w:eastAsia="ko-KR"/>
        </w:rPr>
      </w:r>
      <w:r w:rsidR="0001002B">
        <w:rPr>
          <w:lang w:eastAsia="ko-KR"/>
        </w:rPr>
        <w:fldChar w:fldCharType="separate"/>
      </w:r>
      <w:r w:rsidR="00A779CA">
        <w:t xml:space="preserve">Table </w:t>
      </w:r>
      <w:r w:rsidR="00A779CA">
        <w:rPr>
          <w:noProof/>
        </w:rPr>
        <w:t>1</w:t>
      </w:r>
      <w:r w:rsidR="0001002B">
        <w:rPr>
          <w:lang w:eastAsia="ko-KR"/>
        </w:rPr>
        <w:fldChar w:fldCharType="end"/>
      </w:r>
      <w:r w:rsidR="0001002B">
        <w:rPr>
          <w:lang w:eastAsia="ko-KR"/>
        </w:rPr>
        <w:t xml:space="preserve"> shows 12 repetitions of the basic 3.2 ms sequence can achieve very high detection rate and low false alarm rate for 10 dB coverage enhancement (relative to 144 dB MCL).</w:t>
      </w:r>
    </w:p>
    <w:p w14:paraId="202DD99F" w14:textId="18D3FA11" w:rsidR="0001002B" w:rsidRPr="00E330BC" w:rsidRDefault="0001002B" w:rsidP="0001002B">
      <w:pPr>
        <w:pStyle w:val="Caption"/>
      </w:pPr>
      <w:bookmarkStart w:id="4" w:name="_Ref436139581"/>
      <w:r>
        <w:t xml:space="preserve">Table </w:t>
      </w:r>
      <w:r>
        <w:fldChar w:fldCharType="begin"/>
      </w:r>
      <w:r>
        <w:instrText xml:space="preserve"> SEQ Table \* ARABIC </w:instrText>
      </w:r>
      <w:r>
        <w:fldChar w:fldCharType="separate"/>
      </w:r>
      <w:r w:rsidR="00A779CA">
        <w:rPr>
          <w:noProof/>
        </w:rPr>
        <w:t>1</w:t>
      </w:r>
      <w:r>
        <w:fldChar w:fldCharType="end"/>
      </w:r>
      <w:bookmarkEnd w:id="4"/>
      <w:r>
        <w:t xml:space="preserve">: </w:t>
      </w:r>
      <w:r w:rsidR="00514F33">
        <w:t>NB-</w:t>
      </w:r>
      <w:r w:rsidR="00DD66B3">
        <w:t xml:space="preserve">PRACH </w:t>
      </w:r>
      <w:r w:rsidRPr="00E330BC">
        <w:t>Covera</w:t>
      </w:r>
      <w:r w:rsidR="00DD66B3">
        <w:t>ge Performance</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61"/>
        <w:gridCol w:w="1117"/>
        <w:gridCol w:w="1272"/>
        <w:gridCol w:w="1402"/>
        <w:gridCol w:w="1541"/>
      </w:tblGrid>
      <w:tr w:rsidR="0001002B" w:rsidRPr="004B7027" w14:paraId="1BC29EF0" w14:textId="77777777" w:rsidTr="00BA54D0">
        <w:trPr>
          <w:jc w:val="center"/>
        </w:trPr>
        <w:tc>
          <w:tcPr>
            <w:tcW w:w="1703" w:type="dxa"/>
            <w:shd w:val="clear" w:color="auto" w:fill="DBE5F1"/>
          </w:tcPr>
          <w:p w14:paraId="1A027D95" w14:textId="77777777" w:rsidR="0001002B" w:rsidRPr="00E330BC" w:rsidRDefault="0001002B" w:rsidP="0084373C">
            <w:pPr>
              <w:jc w:val="center"/>
            </w:pPr>
            <w:r>
              <w:t>Resource</w:t>
            </w:r>
          </w:p>
        </w:tc>
        <w:tc>
          <w:tcPr>
            <w:tcW w:w="1161" w:type="dxa"/>
            <w:shd w:val="clear" w:color="auto" w:fill="DBE5F1"/>
          </w:tcPr>
          <w:p w14:paraId="6C988848" w14:textId="77777777" w:rsidR="0001002B" w:rsidRPr="00E330BC" w:rsidRDefault="0001002B" w:rsidP="0084373C">
            <w:pPr>
              <w:jc w:val="center"/>
            </w:pPr>
            <w:r w:rsidRPr="00E330BC">
              <w:t>No. of preambles</w:t>
            </w:r>
          </w:p>
        </w:tc>
        <w:tc>
          <w:tcPr>
            <w:tcW w:w="1117" w:type="dxa"/>
            <w:shd w:val="clear" w:color="auto" w:fill="DBE5F1"/>
          </w:tcPr>
          <w:p w14:paraId="32B1131D" w14:textId="77777777" w:rsidR="0001002B" w:rsidRPr="00E330BC" w:rsidRDefault="0001002B" w:rsidP="0084373C">
            <w:pPr>
              <w:jc w:val="center"/>
            </w:pPr>
            <w:r w:rsidRPr="00E330BC">
              <w:t>SNR (dB)</w:t>
            </w:r>
          </w:p>
        </w:tc>
        <w:tc>
          <w:tcPr>
            <w:tcW w:w="1272" w:type="dxa"/>
            <w:shd w:val="clear" w:color="auto" w:fill="DBE5F1"/>
          </w:tcPr>
          <w:p w14:paraId="4E371B06" w14:textId="77777777" w:rsidR="0001002B" w:rsidRPr="00E330BC" w:rsidRDefault="0001002B" w:rsidP="0084373C">
            <w:pPr>
              <w:jc w:val="center"/>
            </w:pPr>
            <w:r w:rsidRPr="00E330BC">
              <w:t>MCL (dB)</w:t>
            </w:r>
          </w:p>
        </w:tc>
        <w:tc>
          <w:tcPr>
            <w:tcW w:w="1402" w:type="dxa"/>
            <w:shd w:val="clear" w:color="auto" w:fill="DBE5F1"/>
          </w:tcPr>
          <w:p w14:paraId="331486B4" w14:textId="77777777" w:rsidR="0001002B" w:rsidRPr="00E330BC" w:rsidRDefault="0001002B" w:rsidP="0084373C">
            <w:pPr>
              <w:jc w:val="center"/>
            </w:pPr>
            <w:r>
              <w:t>False alarm rate</w:t>
            </w:r>
          </w:p>
        </w:tc>
        <w:tc>
          <w:tcPr>
            <w:tcW w:w="1541" w:type="dxa"/>
            <w:shd w:val="clear" w:color="auto" w:fill="DBE5F1"/>
          </w:tcPr>
          <w:p w14:paraId="358072D8" w14:textId="77777777" w:rsidR="0001002B" w:rsidRPr="00E330BC" w:rsidRDefault="0001002B" w:rsidP="0084373C">
            <w:pPr>
              <w:jc w:val="center"/>
            </w:pPr>
            <w:r>
              <w:t>Detection rate</w:t>
            </w:r>
          </w:p>
        </w:tc>
      </w:tr>
      <w:tr w:rsidR="0001002B" w:rsidRPr="004B7027" w14:paraId="4DBC7959" w14:textId="77777777" w:rsidTr="00BA54D0">
        <w:trPr>
          <w:jc w:val="center"/>
        </w:trPr>
        <w:tc>
          <w:tcPr>
            <w:tcW w:w="1703" w:type="dxa"/>
            <w:shd w:val="clear" w:color="auto" w:fill="auto"/>
          </w:tcPr>
          <w:p w14:paraId="14582832" w14:textId="77777777" w:rsidR="0001002B" w:rsidRPr="00E330BC" w:rsidRDefault="0001002B" w:rsidP="0084373C">
            <w:pPr>
              <w:jc w:val="center"/>
            </w:pPr>
            <w:r>
              <w:t>3.2 ms x 80 kHz</w:t>
            </w:r>
          </w:p>
        </w:tc>
        <w:tc>
          <w:tcPr>
            <w:tcW w:w="1161" w:type="dxa"/>
          </w:tcPr>
          <w:p w14:paraId="150AB2D3" w14:textId="77777777" w:rsidR="0001002B" w:rsidRPr="00E330BC" w:rsidRDefault="0001002B" w:rsidP="0084373C">
            <w:pPr>
              <w:jc w:val="center"/>
            </w:pPr>
            <w:r>
              <w:t>18</w:t>
            </w:r>
          </w:p>
        </w:tc>
        <w:tc>
          <w:tcPr>
            <w:tcW w:w="1117" w:type="dxa"/>
          </w:tcPr>
          <w:p w14:paraId="567B0604" w14:textId="77777777" w:rsidR="0001002B" w:rsidRPr="00E330BC" w:rsidRDefault="0001002B" w:rsidP="0084373C">
            <w:pPr>
              <w:jc w:val="center"/>
            </w:pPr>
            <w:r>
              <w:t>0.9</w:t>
            </w:r>
          </w:p>
        </w:tc>
        <w:tc>
          <w:tcPr>
            <w:tcW w:w="1272" w:type="dxa"/>
          </w:tcPr>
          <w:p w14:paraId="48A2BE97" w14:textId="77777777" w:rsidR="0001002B" w:rsidRPr="00E330BC" w:rsidRDefault="0001002B" w:rsidP="0084373C">
            <w:pPr>
              <w:jc w:val="center"/>
            </w:pPr>
            <w:r w:rsidRPr="00E330BC">
              <w:t>144</w:t>
            </w:r>
          </w:p>
        </w:tc>
        <w:tc>
          <w:tcPr>
            <w:tcW w:w="1402" w:type="dxa"/>
          </w:tcPr>
          <w:p w14:paraId="2676795A" w14:textId="77777777" w:rsidR="0001002B" w:rsidRPr="00E330BC" w:rsidRDefault="0001002B" w:rsidP="0084373C">
            <w:pPr>
              <w:jc w:val="center"/>
            </w:pPr>
            <w:r>
              <w:t>0/100,000</w:t>
            </w:r>
          </w:p>
        </w:tc>
        <w:tc>
          <w:tcPr>
            <w:tcW w:w="1541" w:type="dxa"/>
          </w:tcPr>
          <w:p w14:paraId="2A1A4B03" w14:textId="77777777" w:rsidR="0001002B" w:rsidRPr="00E330BC" w:rsidRDefault="0001002B" w:rsidP="0084373C">
            <w:pPr>
              <w:jc w:val="center"/>
            </w:pPr>
            <w:r>
              <w:t>99.70%</w:t>
            </w:r>
          </w:p>
        </w:tc>
      </w:tr>
      <w:tr w:rsidR="0001002B" w:rsidRPr="004B7027" w14:paraId="35ACFEE4" w14:textId="77777777" w:rsidTr="00BA54D0">
        <w:trPr>
          <w:jc w:val="center"/>
        </w:trPr>
        <w:tc>
          <w:tcPr>
            <w:tcW w:w="1703" w:type="dxa"/>
            <w:shd w:val="clear" w:color="auto" w:fill="auto"/>
            <w:vAlign w:val="center"/>
          </w:tcPr>
          <w:p w14:paraId="52881B34" w14:textId="77777777" w:rsidR="0001002B" w:rsidRDefault="0001002B" w:rsidP="0084373C">
            <w:pPr>
              <w:jc w:val="center"/>
            </w:pPr>
            <w:r w:rsidRPr="00DF438D">
              <w:t xml:space="preserve">12 x </w:t>
            </w:r>
            <w:r>
              <w:t>3.2</w:t>
            </w:r>
            <w:r w:rsidRPr="00DF438D">
              <w:t xml:space="preserve"> ms x 80 </w:t>
            </w:r>
            <w:r w:rsidRPr="00DF438D">
              <w:lastRenderedPageBreak/>
              <w:t>kHz</w:t>
            </w:r>
          </w:p>
        </w:tc>
        <w:tc>
          <w:tcPr>
            <w:tcW w:w="1161" w:type="dxa"/>
            <w:vAlign w:val="center"/>
          </w:tcPr>
          <w:p w14:paraId="4A888BDB" w14:textId="77777777" w:rsidR="0001002B" w:rsidRDefault="0001002B" w:rsidP="0084373C">
            <w:pPr>
              <w:jc w:val="center"/>
            </w:pPr>
            <w:r>
              <w:lastRenderedPageBreak/>
              <w:t>18</w:t>
            </w:r>
          </w:p>
        </w:tc>
        <w:tc>
          <w:tcPr>
            <w:tcW w:w="1117" w:type="dxa"/>
            <w:vAlign w:val="center"/>
          </w:tcPr>
          <w:p w14:paraId="736A34F6" w14:textId="77777777" w:rsidR="0001002B" w:rsidRDefault="0001002B" w:rsidP="0084373C">
            <w:pPr>
              <w:jc w:val="center"/>
            </w:pPr>
            <w:r w:rsidRPr="00DF438D">
              <w:t>-9.1</w:t>
            </w:r>
          </w:p>
        </w:tc>
        <w:tc>
          <w:tcPr>
            <w:tcW w:w="1272" w:type="dxa"/>
            <w:vAlign w:val="center"/>
          </w:tcPr>
          <w:p w14:paraId="4C7EAA7E" w14:textId="77777777" w:rsidR="0001002B" w:rsidRPr="00E330BC" w:rsidRDefault="0001002B" w:rsidP="0084373C">
            <w:pPr>
              <w:jc w:val="center"/>
            </w:pPr>
            <w:r w:rsidRPr="00DF438D">
              <w:t>154</w:t>
            </w:r>
          </w:p>
        </w:tc>
        <w:tc>
          <w:tcPr>
            <w:tcW w:w="1402" w:type="dxa"/>
            <w:vAlign w:val="center"/>
          </w:tcPr>
          <w:p w14:paraId="325F779F" w14:textId="77777777" w:rsidR="0001002B" w:rsidRDefault="0001002B" w:rsidP="0084373C">
            <w:pPr>
              <w:jc w:val="center"/>
            </w:pPr>
            <w:r>
              <w:t>6/100,000</w:t>
            </w:r>
          </w:p>
        </w:tc>
        <w:tc>
          <w:tcPr>
            <w:tcW w:w="1541" w:type="dxa"/>
            <w:vAlign w:val="center"/>
          </w:tcPr>
          <w:p w14:paraId="137CCC0E" w14:textId="77777777" w:rsidR="0001002B" w:rsidRDefault="0001002B" w:rsidP="0084373C">
            <w:pPr>
              <w:jc w:val="center"/>
            </w:pPr>
            <w:r w:rsidRPr="00DF438D">
              <w:t>98.</w:t>
            </w:r>
            <w:r>
              <w:t>99</w:t>
            </w:r>
            <w:r w:rsidRPr="00DF438D">
              <w:t>%</w:t>
            </w:r>
          </w:p>
        </w:tc>
      </w:tr>
    </w:tbl>
    <w:p w14:paraId="05F1DB09" w14:textId="245C986F" w:rsidR="000D4529" w:rsidRDefault="0001002B" w:rsidP="0091129F">
      <w:pPr>
        <w:pStyle w:val="BodyText"/>
        <w:rPr>
          <w:lang w:eastAsia="ko-KR"/>
        </w:rPr>
      </w:pPr>
      <w:r>
        <w:rPr>
          <w:lang w:eastAsia="ko-KR"/>
        </w:rPr>
        <w:lastRenderedPageBreak/>
        <w:t xml:space="preserve"> </w:t>
      </w:r>
    </w:p>
    <w:p w14:paraId="185040FF" w14:textId="28E989F7" w:rsidR="00AB5A0B" w:rsidRDefault="001839DA" w:rsidP="004D4135">
      <w:pPr>
        <w:pStyle w:val="BodyText"/>
        <w:rPr>
          <w:lang w:eastAsia="ko-KR"/>
        </w:rPr>
      </w:pPr>
      <w:r>
        <w:rPr>
          <w:lang w:eastAsia="ko-KR"/>
        </w:rPr>
        <w:t xml:space="preserve">For TDD deployment, it is desirable to limit </w:t>
      </w:r>
      <w:r w:rsidR="00B32559">
        <w:rPr>
          <w:lang w:eastAsia="ko-KR"/>
        </w:rPr>
        <w:t>the preamble length below 1 ms at the cost of reduced coverage performance. A good choice</w:t>
      </w:r>
      <w:r w:rsidR="004D4135">
        <w:t xml:space="preserve"> is to adopt</w:t>
      </w:r>
      <w:r w:rsidR="00B32559">
        <w:t xml:space="preserve"> the basic LTE </w:t>
      </w:r>
      <w:r w:rsidR="00514F33">
        <w:t>NB-</w:t>
      </w:r>
      <w:r w:rsidR="00B32559">
        <w:t xml:space="preserve">PRACH </w:t>
      </w:r>
      <w:r w:rsidR="004D4135">
        <w:t xml:space="preserve">subcarrier spacing </w:t>
      </w:r>
      <w:r w:rsidR="00B32559">
        <w:t xml:space="preserve">1.25 kHz, translating into a preamble length of 0.8 ms. </w:t>
      </w:r>
      <w:r w:rsidR="004D4135">
        <w:rPr>
          <w:lang w:eastAsia="ko-KR"/>
        </w:rPr>
        <w:t xml:space="preserve">With 80 kHz </w:t>
      </w:r>
      <w:r w:rsidR="00514F33">
        <w:rPr>
          <w:lang w:eastAsia="ko-KR"/>
        </w:rPr>
        <w:t>NB-</w:t>
      </w:r>
      <w:r w:rsidR="004D4135">
        <w:rPr>
          <w:lang w:eastAsia="ko-KR"/>
        </w:rPr>
        <w:t>PRACH bandwidth, t</w:t>
      </w:r>
      <w:r w:rsidR="004D4135" w:rsidRPr="00E330BC">
        <w:rPr>
          <w:lang w:eastAsia="ko-KR"/>
        </w:rPr>
        <w:t xml:space="preserve">he maximum preamble </w:t>
      </w:r>
      <w:r w:rsidR="004D4135">
        <w:rPr>
          <w:lang w:eastAsia="ko-KR"/>
        </w:rPr>
        <w:t xml:space="preserve">sequence </w:t>
      </w:r>
      <w:r w:rsidR="004D4135" w:rsidRPr="00E330BC">
        <w:rPr>
          <w:lang w:eastAsia="ko-KR"/>
        </w:rPr>
        <w:t xml:space="preserve">length is thus </w:t>
      </w:r>
      <w:r w:rsidR="004D4135">
        <w:rPr>
          <w:lang w:eastAsia="ko-KR"/>
        </w:rPr>
        <w:t>80/</w:t>
      </w:r>
      <w:r w:rsidR="004D4135" w:rsidRPr="00E330BC">
        <w:rPr>
          <w:lang w:eastAsia="ko-KR"/>
        </w:rPr>
        <w:t>1</w:t>
      </w:r>
      <w:r w:rsidR="004D4135">
        <w:rPr>
          <w:lang w:eastAsia="ko-KR"/>
        </w:rPr>
        <w:t>.</w:t>
      </w:r>
      <w:r w:rsidR="004D4135" w:rsidRPr="00E330BC">
        <w:rPr>
          <w:lang w:eastAsia="ko-KR"/>
        </w:rPr>
        <w:t>25=</w:t>
      </w:r>
      <w:r w:rsidR="004D4135">
        <w:rPr>
          <w:lang w:eastAsia="ko-KR"/>
        </w:rPr>
        <w:t>64</w:t>
      </w:r>
      <w:r w:rsidR="004D4135" w:rsidRPr="00E330BC">
        <w:rPr>
          <w:lang w:eastAsia="ko-KR"/>
        </w:rPr>
        <w:t xml:space="preserve">. To facilitate preamble sequence selection, prime-length Zadoff-Chu sequences are preferred. Since the largest prime number less than </w:t>
      </w:r>
      <w:r w:rsidR="009104EE">
        <w:rPr>
          <w:lang w:eastAsia="ko-KR"/>
        </w:rPr>
        <w:t>64</w:t>
      </w:r>
      <w:r w:rsidR="004D4135" w:rsidRPr="00E330BC">
        <w:rPr>
          <w:lang w:eastAsia="ko-KR"/>
        </w:rPr>
        <w:t xml:space="preserve"> is </w:t>
      </w:r>
      <w:r w:rsidR="009104EE">
        <w:rPr>
          <w:lang w:eastAsia="ko-KR"/>
        </w:rPr>
        <w:t>6</w:t>
      </w:r>
      <w:r w:rsidR="004D4135" w:rsidRPr="00E330BC">
        <w:rPr>
          <w:lang w:eastAsia="ko-KR"/>
        </w:rPr>
        <w:t xml:space="preserve">1, </w:t>
      </w:r>
      <w:r w:rsidR="00963640">
        <w:rPr>
          <w:lang w:eastAsia="ko-KR"/>
        </w:rPr>
        <w:t>we may</w:t>
      </w:r>
      <w:r w:rsidR="004D4135" w:rsidRPr="00E330BC">
        <w:rPr>
          <w:lang w:eastAsia="ko-KR"/>
        </w:rPr>
        <w:t xml:space="preserve"> use length-</w:t>
      </w:r>
      <w:r w:rsidR="009104EE">
        <w:rPr>
          <w:lang w:eastAsia="ko-KR"/>
        </w:rPr>
        <w:t>6</w:t>
      </w:r>
      <w:r w:rsidR="004D4135" w:rsidRPr="00E330BC">
        <w:rPr>
          <w:lang w:eastAsia="ko-KR"/>
        </w:rPr>
        <w:t>1 Zadoff-Chu sequences as preambles.</w:t>
      </w:r>
      <w:r w:rsidR="00963640">
        <w:rPr>
          <w:lang w:eastAsia="ko-KR"/>
        </w:rPr>
        <w:t xml:space="preserve"> However, length 61 sequences may not be long e</w:t>
      </w:r>
      <w:r w:rsidR="0059453B">
        <w:rPr>
          <w:lang w:eastAsia="ko-KR"/>
        </w:rPr>
        <w:t>nough to handle near-far issues</w:t>
      </w:r>
      <w:r w:rsidR="00963640">
        <w:rPr>
          <w:lang w:eastAsia="ko-KR"/>
        </w:rPr>
        <w:t>. If this is the case, consider using larger than 80 kHz PRACH bandwidth for TDD.</w:t>
      </w:r>
    </w:p>
    <w:p w14:paraId="67E11F11" w14:textId="2CF44066" w:rsidR="00AB5A0B" w:rsidRDefault="00AB5A0B" w:rsidP="00AB5A0B">
      <w:pPr>
        <w:pStyle w:val="BodyText"/>
        <w:rPr>
          <w:lang w:eastAsia="ko-KR"/>
        </w:rPr>
      </w:pPr>
      <w:r>
        <w:rPr>
          <w:lang w:eastAsia="ko-KR"/>
        </w:rPr>
        <w:t xml:space="preserve">For users in enhanced coverage, the preamble can consist of a number of repetitions of the basic sequence, as illustrated in </w:t>
      </w:r>
      <w:r w:rsidR="00D30BF6">
        <w:rPr>
          <w:lang w:eastAsia="ko-KR"/>
        </w:rPr>
        <w:fldChar w:fldCharType="begin"/>
      </w:r>
      <w:r w:rsidR="00D30BF6">
        <w:rPr>
          <w:lang w:eastAsia="ko-KR"/>
        </w:rPr>
        <w:instrText xml:space="preserve"> REF _Ref436141822 \h </w:instrText>
      </w:r>
      <w:r w:rsidR="00D30BF6">
        <w:rPr>
          <w:lang w:eastAsia="ko-KR"/>
        </w:rPr>
      </w:r>
      <w:r w:rsidR="00D30BF6">
        <w:rPr>
          <w:lang w:eastAsia="ko-KR"/>
        </w:rPr>
        <w:fldChar w:fldCharType="separate"/>
      </w:r>
      <w:r w:rsidR="00A779CA">
        <w:t xml:space="preserve">Figure </w:t>
      </w:r>
      <w:r w:rsidR="00A779CA">
        <w:rPr>
          <w:noProof/>
        </w:rPr>
        <w:t>3</w:t>
      </w:r>
      <w:r w:rsidR="00D30BF6">
        <w:rPr>
          <w:lang w:eastAsia="ko-KR"/>
        </w:rPr>
        <w:fldChar w:fldCharType="end"/>
      </w:r>
      <w:r>
        <w:rPr>
          <w:lang w:eastAsia="ko-KR"/>
        </w:rPr>
        <w:t xml:space="preserve">. </w:t>
      </w:r>
      <w:r w:rsidR="00D30BF6">
        <w:rPr>
          <w:lang w:eastAsia="ko-KR"/>
        </w:rPr>
        <w:t>However, unlike FDD, the repetitions of the basic sequence in TDD may not be contiguous but need to be distributed across several uplink subframes.</w:t>
      </w:r>
      <w:r w:rsidR="00465078">
        <w:rPr>
          <w:lang w:eastAsia="ko-KR"/>
        </w:rPr>
        <w:t xml:space="preserve"> This non-contiguous transmission introduces additional CP and GT overhead.</w:t>
      </w:r>
      <w:r w:rsidR="00D30BF6">
        <w:rPr>
          <w:lang w:eastAsia="ko-KR"/>
        </w:rPr>
        <w:t xml:space="preserve"> </w:t>
      </w:r>
      <w:r w:rsidR="008A65DF">
        <w:rPr>
          <w:lang w:eastAsia="ko-KR"/>
        </w:rPr>
        <w:t xml:space="preserve">An illustration is given in </w:t>
      </w:r>
      <w:r w:rsidR="008A65DF">
        <w:rPr>
          <w:lang w:eastAsia="ko-KR"/>
        </w:rPr>
        <w:fldChar w:fldCharType="begin"/>
      </w:r>
      <w:r w:rsidR="008A65DF">
        <w:rPr>
          <w:lang w:eastAsia="ko-KR"/>
        </w:rPr>
        <w:instrText xml:space="preserve"> REF _Ref436141822 \h </w:instrText>
      </w:r>
      <w:r w:rsidR="008A65DF">
        <w:rPr>
          <w:lang w:eastAsia="ko-KR"/>
        </w:rPr>
      </w:r>
      <w:r w:rsidR="008A65DF">
        <w:rPr>
          <w:lang w:eastAsia="ko-KR"/>
        </w:rPr>
        <w:fldChar w:fldCharType="separate"/>
      </w:r>
      <w:r w:rsidR="00A779CA">
        <w:t xml:space="preserve">Figure </w:t>
      </w:r>
      <w:r w:rsidR="00A779CA">
        <w:rPr>
          <w:noProof/>
        </w:rPr>
        <w:t>3</w:t>
      </w:r>
      <w:r w:rsidR="008A65DF">
        <w:rPr>
          <w:lang w:eastAsia="ko-KR"/>
        </w:rPr>
        <w:fldChar w:fldCharType="end"/>
      </w:r>
      <w:r w:rsidR="008A65DF">
        <w:rPr>
          <w:lang w:eastAsia="ko-KR"/>
        </w:rPr>
        <w:t>.</w:t>
      </w:r>
      <w:r w:rsidR="00D30BF6">
        <w:rPr>
          <w:lang w:eastAsia="ko-KR"/>
        </w:rPr>
        <w:t xml:space="preserve"> </w:t>
      </w:r>
    </w:p>
    <w:p w14:paraId="5FFA716D" w14:textId="018FC57C" w:rsidR="00B32559" w:rsidRDefault="0015500D" w:rsidP="004F118D">
      <w:pPr>
        <w:pStyle w:val="BodyText"/>
        <w:jc w:val="center"/>
        <w:rPr>
          <w:lang w:eastAsia="ko-KR"/>
        </w:rPr>
      </w:pPr>
      <w:r>
        <w:rPr>
          <w:noProof/>
          <w:lang w:val="en-US"/>
        </w:rPr>
        <w:drawing>
          <wp:inline distT="0" distB="0" distL="0" distR="0" wp14:anchorId="0397E8BD" wp14:editId="78740F38">
            <wp:extent cx="5310835" cy="2124334"/>
            <wp:effectExtent l="0" t="0" r="444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10238" cy="2124095"/>
                    </a:xfrm>
                    <a:prstGeom prst="rect">
                      <a:avLst/>
                    </a:prstGeom>
                  </pic:spPr>
                </pic:pic>
              </a:graphicData>
            </a:graphic>
          </wp:inline>
        </w:drawing>
      </w:r>
    </w:p>
    <w:p w14:paraId="3BC73980" w14:textId="6BF372CF" w:rsidR="0091129F" w:rsidRPr="00E330BC" w:rsidRDefault="00AB5A0B" w:rsidP="009B3549">
      <w:pPr>
        <w:pStyle w:val="Caption"/>
        <w:rPr>
          <w:lang w:eastAsia="ko-KR"/>
        </w:rPr>
      </w:pPr>
      <w:bookmarkStart w:id="5" w:name="_Ref436141822"/>
      <w:r>
        <w:t xml:space="preserve">Figure </w:t>
      </w:r>
      <w:r>
        <w:fldChar w:fldCharType="begin"/>
      </w:r>
      <w:r>
        <w:instrText xml:space="preserve"> SEQ Figure \* ARABIC </w:instrText>
      </w:r>
      <w:r>
        <w:fldChar w:fldCharType="separate"/>
      </w:r>
      <w:r w:rsidR="00A779CA">
        <w:rPr>
          <w:noProof/>
        </w:rPr>
        <w:t>3</w:t>
      </w:r>
      <w:r>
        <w:fldChar w:fldCharType="end"/>
      </w:r>
      <w:bookmarkEnd w:id="5"/>
      <w:r>
        <w:t xml:space="preserve">: Zadoff-Chu sequences based </w:t>
      </w:r>
      <w:r w:rsidR="00514F33">
        <w:t>NB-</w:t>
      </w:r>
      <w:r>
        <w:t xml:space="preserve">PRACH design for TDD </w:t>
      </w:r>
    </w:p>
    <w:p w14:paraId="144E8D01" w14:textId="24840AC0" w:rsidR="00963640" w:rsidRPr="004857BA" w:rsidRDefault="001D6714" w:rsidP="001D6714">
      <w:pPr>
        <w:pStyle w:val="BodyText"/>
        <w:rPr>
          <w:i/>
          <w:lang w:eastAsia="ko-KR"/>
        </w:rPr>
      </w:pPr>
      <w:r>
        <w:rPr>
          <w:i/>
          <w:lang w:eastAsia="ko-KR"/>
        </w:rPr>
        <w:t xml:space="preserve">Proposal </w:t>
      </w:r>
      <w:r w:rsidR="00511F61">
        <w:rPr>
          <w:i/>
          <w:lang w:eastAsia="ko-KR"/>
        </w:rPr>
        <w:t>3</w:t>
      </w:r>
      <w:r>
        <w:rPr>
          <w:i/>
          <w:lang w:eastAsia="ko-KR"/>
        </w:rPr>
        <w:t xml:space="preserve">: For FDD deployment of NB-IoT, use 312.5 </w:t>
      </w:r>
      <w:r w:rsidRPr="004857BA">
        <w:rPr>
          <w:i/>
          <w:lang w:eastAsia="ko-KR"/>
        </w:rPr>
        <w:t>Hz</w:t>
      </w:r>
      <w:r>
        <w:rPr>
          <w:i/>
          <w:lang w:eastAsia="ko-KR"/>
        </w:rPr>
        <w:t xml:space="preserve"> subcarrier</w:t>
      </w:r>
      <w:r w:rsidRPr="004857BA">
        <w:rPr>
          <w:i/>
          <w:lang w:eastAsia="ko-KR"/>
        </w:rPr>
        <w:t xml:space="preserve"> bandwidth as a benchmark design</w:t>
      </w:r>
      <w:r>
        <w:rPr>
          <w:i/>
          <w:lang w:eastAsia="ko-KR"/>
        </w:rPr>
        <w:t xml:space="preserve"> choice</w:t>
      </w:r>
      <w:r w:rsidRPr="004857BA">
        <w:rPr>
          <w:i/>
          <w:lang w:eastAsia="ko-KR"/>
        </w:rPr>
        <w:t xml:space="preserve"> for </w:t>
      </w:r>
      <w:r w:rsidR="00287516">
        <w:rPr>
          <w:i/>
        </w:rPr>
        <w:t xml:space="preserve">Zadoff-Chu sequences based </w:t>
      </w:r>
      <w:r w:rsidR="00514F33">
        <w:rPr>
          <w:i/>
        </w:rPr>
        <w:t>NB-</w:t>
      </w:r>
      <w:r w:rsidR="00287516">
        <w:rPr>
          <w:i/>
        </w:rPr>
        <w:t>PRACH</w:t>
      </w:r>
      <w:r w:rsidRPr="004857BA">
        <w:rPr>
          <w:i/>
          <w:lang w:eastAsia="ko-KR"/>
        </w:rPr>
        <w:t>.</w:t>
      </w:r>
    </w:p>
    <w:p w14:paraId="1288C4EC" w14:textId="0B609409" w:rsidR="001D6714" w:rsidRDefault="001D6714" w:rsidP="001D6714">
      <w:pPr>
        <w:pStyle w:val="BodyText"/>
        <w:rPr>
          <w:i/>
          <w:lang w:eastAsia="ko-KR"/>
        </w:rPr>
      </w:pPr>
      <w:r w:rsidRPr="004857BA">
        <w:rPr>
          <w:i/>
          <w:lang w:eastAsia="ko-KR"/>
        </w:rPr>
        <w:t xml:space="preserve">Proposal </w:t>
      </w:r>
      <w:r w:rsidR="00511F61">
        <w:rPr>
          <w:i/>
          <w:lang w:eastAsia="ko-KR"/>
        </w:rPr>
        <w:t>4</w:t>
      </w:r>
      <w:r w:rsidRPr="004857BA">
        <w:rPr>
          <w:i/>
          <w:lang w:eastAsia="ko-KR"/>
        </w:rPr>
        <w:t xml:space="preserve">: </w:t>
      </w:r>
      <w:r>
        <w:rPr>
          <w:i/>
          <w:lang w:eastAsia="ko-KR"/>
        </w:rPr>
        <w:t xml:space="preserve">For TDD deployment of NB-IoT, use </w:t>
      </w:r>
      <w:r w:rsidR="00965F1F">
        <w:rPr>
          <w:i/>
          <w:lang w:eastAsia="ko-KR"/>
        </w:rPr>
        <w:t>1</w:t>
      </w:r>
      <w:r w:rsidR="00A54DEC">
        <w:rPr>
          <w:i/>
          <w:lang w:eastAsia="ko-KR"/>
        </w:rPr>
        <w:t>.25</w:t>
      </w:r>
      <w:r>
        <w:rPr>
          <w:i/>
          <w:lang w:eastAsia="ko-KR"/>
        </w:rPr>
        <w:t xml:space="preserve"> </w:t>
      </w:r>
      <w:r w:rsidR="00A54DEC">
        <w:rPr>
          <w:i/>
          <w:lang w:eastAsia="ko-KR"/>
        </w:rPr>
        <w:t>k</w:t>
      </w:r>
      <w:r w:rsidRPr="004857BA">
        <w:rPr>
          <w:i/>
          <w:lang w:eastAsia="ko-KR"/>
        </w:rPr>
        <w:t>Hz</w:t>
      </w:r>
      <w:r>
        <w:rPr>
          <w:i/>
          <w:lang w:eastAsia="ko-KR"/>
        </w:rPr>
        <w:t xml:space="preserve"> subcarrier</w:t>
      </w:r>
      <w:r w:rsidRPr="004857BA">
        <w:rPr>
          <w:i/>
          <w:lang w:eastAsia="ko-KR"/>
        </w:rPr>
        <w:t xml:space="preserve"> bandwidth as a benchmark design</w:t>
      </w:r>
      <w:r>
        <w:rPr>
          <w:i/>
          <w:lang w:eastAsia="ko-KR"/>
        </w:rPr>
        <w:t xml:space="preserve"> choice</w:t>
      </w:r>
      <w:r w:rsidRPr="004857BA">
        <w:rPr>
          <w:i/>
          <w:lang w:eastAsia="ko-KR"/>
        </w:rPr>
        <w:t xml:space="preserve"> for </w:t>
      </w:r>
      <w:r w:rsidRPr="004857BA">
        <w:rPr>
          <w:i/>
        </w:rPr>
        <w:t xml:space="preserve">Zadoff-Chu sequences based </w:t>
      </w:r>
      <w:r w:rsidR="00514F33">
        <w:rPr>
          <w:i/>
        </w:rPr>
        <w:t>NB-</w:t>
      </w:r>
      <w:r w:rsidRPr="004857BA">
        <w:rPr>
          <w:i/>
        </w:rPr>
        <w:t>PRACH</w:t>
      </w:r>
      <w:r w:rsidRPr="004857BA">
        <w:rPr>
          <w:i/>
          <w:lang w:eastAsia="ko-KR"/>
        </w:rPr>
        <w:t>.</w:t>
      </w:r>
    </w:p>
    <w:p w14:paraId="789D21BE" w14:textId="06D207E5" w:rsidR="00963640" w:rsidRDefault="00963640" w:rsidP="001D6714">
      <w:pPr>
        <w:pStyle w:val="BodyText"/>
        <w:rPr>
          <w:i/>
          <w:lang w:eastAsia="ko-KR"/>
        </w:rPr>
      </w:pPr>
      <w:r>
        <w:rPr>
          <w:i/>
          <w:lang w:eastAsia="ko-KR"/>
        </w:rPr>
        <w:t xml:space="preserve">Proposal </w:t>
      </w:r>
      <w:r w:rsidR="00D044BA">
        <w:rPr>
          <w:i/>
          <w:lang w:eastAsia="ko-KR"/>
        </w:rPr>
        <w:t>5</w:t>
      </w:r>
      <w:r>
        <w:rPr>
          <w:i/>
          <w:lang w:eastAsia="ko-KR"/>
        </w:rPr>
        <w:t>: For TDD deployment of NB-IoT, consider larger than 80 kHz PRACH bandwidth if the length of Zadoff-Chu sequences</w:t>
      </w:r>
      <w:r w:rsidR="00687C54">
        <w:rPr>
          <w:i/>
          <w:lang w:eastAsia="ko-KR"/>
        </w:rPr>
        <w:t xml:space="preserve"> under 80 kHz bandwidth</w:t>
      </w:r>
      <w:r>
        <w:rPr>
          <w:i/>
          <w:lang w:eastAsia="ko-KR"/>
        </w:rPr>
        <w:t xml:space="preserve"> is not long enough to handle near-far issues</w:t>
      </w:r>
      <w:r w:rsidRPr="004857BA">
        <w:rPr>
          <w:i/>
          <w:lang w:eastAsia="ko-KR"/>
        </w:rPr>
        <w:t>.</w:t>
      </w:r>
    </w:p>
    <w:p w14:paraId="7ADCA97F" w14:textId="16D75C76" w:rsidR="0034674D" w:rsidRPr="0034674D" w:rsidRDefault="00996B1C" w:rsidP="0034674D">
      <w:pPr>
        <w:pStyle w:val="BodyText"/>
        <w:rPr>
          <w:i/>
          <w:lang w:eastAsia="ko-KR"/>
        </w:rPr>
      </w:pPr>
      <w:r>
        <w:rPr>
          <w:i/>
          <w:lang w:eastAsia="ko-KR"/>
        </w:rPr>
        <w:t xml:space="preserve">Proposal </w:t>
      </w:r>
      <w:r w:rsidR="00D044BA">
        <w:rPr>
          <w:i/>
          <w:lang w:eastAsia="ko-KR"/>
        </w:rPr>
        <w:t>6</w:t>
      </w:r>
      <w:r>
        <w:rPr>
          <w:i/>
          <w:lang w:eastAsia="ko-KR"/>
        </w:rPr>
        <w:t>:</w:t>
      </w:r>
      <w:r w:rsidR="00B80490">
        <w:rPr>
          <w:i/>
          <w:lang w:eastAsia="ko-KR"/>
        </w:rPr>
        <w:t xml:space="preserve"> </w:t>
      </w:r>
      <w:r w:rsidR="00F717D8">
        <w:rPr>
          <w:i/>
          <w:lang w:eastAsia="ko-KR"/>
        </w:rPr>
        <w:t>For both FDD and TDD, t</w:t>
      </w:r>
      <w:r w:rsidR="00B80490">
        <w:rPr>
          <w:i/>
          <w:lang w:eastAsia="ko-KR"/>
        </w:rPr>
        <w:t xml:space="preserve">he </w:t>
      </w:r>
      <w:r>
        <w:rPr>
          <w:i/>
          <w:lang w:eastAsia="ko-KR"/>
        </w:rPr>
        <w:t xml:space="preserve">set of repetition numbers should be specified based on the </w:t>
      </w:r>
      <w:r w:rsidR="006B5CA4">
        <w:rPr>
          <w:i/>
          <w:lang w:eastAsia="ko-KR"/>
        </w:rPr>
        <w:t xml:space="preserve">targeted </w:t>
      </w:r>
      <w:r>
        <w:rPr>
          <w:i/>
          <w:lang w:eastAsia="ko-KR"/>
        </w:rPr>
        <w:t>coverage classes.</w:t>
      </w:r>
    </w:p>
    <w:p w14:paraId="6F412AA0" w14:textId="14404D14" w:rsidR="00637A2C" w:rsidRDefault="00AE002C" w:rsidP="00ED6531">
      <w:pPr>
        <w:pStyle w:val="Heading2"/>
      </w:pPr>
      <w:r>
        <w:t xml:space="preserve">Number of </w:t>
      </w:r>
      <w:r w:rsidR="00ED6531">
        <w:t>Preamble</w:t>
      </w:r>
      <w:r>
        <w:t>s</w:t>
      </w:r>
      <w:r w:rsidR="00ED6531">
        <w:t xml:space="preserve"> </w:t>
      </w:r>
    </w:p>
    <w:p w14:paraId="241B7DC5" w14:textId="62434BC5" w:rsidR="004106AB" w:rsidRDefault="004106AB" w:rsidP="004106AB">
      <w:r>
        <w:t xml:space="preserve">With a given user arrival rate, the more the preambles are available, the lower the collision rate is. However, having more preambles may increase the false alarm rate (since the base station has more hypotheses to test) and imposes </w:t>
      </w:r>
      <w:r w:rsidR="006B7C09">
        <w:t>higher</w:t>
      </w:r>
      <w:r>
        <w:t xml:space="preserve"> </w:t>
      </w:r>
      <w:r w:rsidR="00052CC3">
        <w:t>NB-</w:t>
      </w:r>
      <w:r>
        <w:t>PRACH detection computation burden.</w:t>
      </w:r>
    </w:p>
    <w:p w14:paraId="40F3FEA2" w14:textId="4ABEBF00" w:rsidR="00CD33AF" w:rsidRDefault="004106AB" w:rsidP="00AE002C">
      <w:r>
        <w:t xml:space="preserve">In our view, </w:t>
      </w:r>
      <w:r w:rsidR="004024A4">
        <w:t>64 preambles should be sufficient</w:t>
      </w:r>
      <w:r w:rsidR="00FD1717">
        <w:t>, considering that the traffic arrival rate is likely to be low (e.g.,</w:t>
      </w:r>
      <w:r w:rsidR="00AB16D9">
        <w:t xml:space="preserve"> less than</w:t>
      </w:r>
      <w:r w:rsidR="00FD1717">
        <w:t xml:space="preserve"> 7 devices/s</w:t>
      </w:r>
      <w:r w:rsidR="00AB16D9">
        <w:t xml:space="preserve"> per</w:t>
      </w:r>
      <w:r w:rsidR="003A6A2E">
        <w:t xml:space="preserve"> the GERAN IoT traffic model</w:t>
      </w:r>
      <w:r w:rsidR="00AB16D9">
        <w:t xml:space="preserve"> </w:t>
      </w:r>
      <w:r w:rsidR="00AB16D9">
        <w:fldChar w:fldCharType="begin"/>
      </w:r>
      <w:r w:rsidR="00AB16D9">
        <w:instrText xml:space="preserve"> REF _Ref425165970 \r \h </w:instrText>
      </w:r>
      <w:r w:rsidR="00AB16D9">
        <w:fldChar w:fldCharType="separate"/>
      </w:r>
      <w:r w:rsidR="00AB16D9">
        <w:t>[7]</w:t>
      </w:r>
      <w:r w:rsidR="00AB16D9">
        <w:fldChar w:fldCharType="end"/>
      </w:r>
      <w:r w:rsidR="00FD1717">
        <w:t>)</w:t>
      </w:r>
      <w:r w:rsidR="00AB16D9">
        <w:t>.</w:t>
      </w:r>
      <w:r w:rsidR="004024A4">
        <w:t xml:space="preserve"> A lower number may also be sufficient. </w:t>
      </w:r>
      <w:r w:rsidR="00A01289">
        <w:t xml:space="preserve">Below is a study on </w:t>
      </w:r>
      <w:r w:rsidR="00AE002C">
        <w:t xml:space="preserve">the </w:t>
      </w:r>
      <w:r w:rsidR="00052CC3">
        <w:t>NB-</w:t>
      </w:r>
      <w:r w:rsidR="00AE002C">
        <w:t xml:space="preserve">PRACH collision probability assuming that 18 preambles are </w:t>
      </w:r>
      <w:r w:rsidR="00CD33AF">
        <w:t xml:space="preserve">used per coverage level under the </w:t>
      </w:r>
      <w:r w:rsidR="00CD33AF" w:rsidRPr="00FE1F13">
        <w:rPr>
          <w:lang w:val="en-US"/>
        </w:rPr>
        <w:t>example random access resou</w:t>
      </w:r>
      <w:r w:rsidR="00CD33AF">
        <w:rPr>
          <w:lang w:val="en-US"/>
        </w:rPr>
        <w:t xml:space="preserve">rce configuration in </w:t>
      </w:r>
      <w:r w:rsidR="00CD33AF">
        <w:rPr>
          <w:lang w:val="en-US"/>
        </w:rPr>
        <w:fldChar w:fldCharType="begin"/>
      </w:r>
      <w:r w:rsidR="00CD33AF">
        <w:rPr>
          <w:lang w:val="en-US"/>
        </w:rPr>
        <w:instrText xml:space="preserve"> REF _Ref436144917 \h </w:instrText>
      </w:r>
      <w:r w:rsidR="00CD33AF">
        <w:rPr>
          <w:lang w:val="en-US"/>
        </w:rPr>
      </w:r>
      <w:r w:rsidR="00CD33AF">
        <w:rPr>
          <w:lang w:val="en-US"/>
        </w:rPr>
        <w:fldChar w:fldCharType="separate"/>
      </w:r>
      <w:r w:rsidR="00A779CA">
        <w:t xml:space="preserve">Figure </w:t>
      </w:r>
      <w:r w:rsidR="00A779CA">
        <w:rPr>
          <w:noProof/>
        </w:rPr>
        <w:t>5</w:t>
      </w:r>
      <w:r w:rsidR="00CD33AF">
        <w:rPr>
          <w:lang w:val="en-US"/>
        </w:rPr>
        <w:fldChar w:fldCharType="end"/>
      </w:r>
      <w:r w:rsidR="00CD33AF">
        <w:rPr>
          <w:lang w:val="en-US"/>
        </w:rPr>
        <w:t>.</w:t>
      </w:r>
    </w:p>
    <w:p w14:paraId="145BEB56" w14:textId="203CB2FE" w:rsidR="00AE002C" w:rsidRDefault="00AE002C" w:rsidP="00AF3225">
      <w:r>
        <w:t xml:space="preserve">We assume a mix of traffic models with a 80/20 distribution between the MAR exception report </w:t>
      </w:r>
      <w:r w:rsidR="00052CC3">
        <w:t xml:space="preserve">(80%) </w:t>
      </w:r>
      <w:r>
        <w:t xml:space="preserve">and Networks Command </w:t>
      </w:r>
      <w:r w:rsidR="00052CC3">
        <w:t xml:space="preserve">(20%) </w:t>
      </w:r>
      <w:r>
        <w:t>where in the latter 50% of the UEs report back to the network resulting in a RACH transmission</w:t>
      </w:r>
      <w:r w:rsidR="001D35C5">
        <w:t xml:space="preserve"> </w:t>
      </w:r>
      <w:r w:rsidR="001D35C5">
        <w:fldChar w:fldCharType="begin"/>
      </w:r>
      <w:r w:rsidR="001D35C5">
        <w:instrText xml:space="preserve"> REF _Ref425165970 \r \h </w:instrText>
      </w:r>
      <w:r w:rsidR="001D35C5">
        <w:fldChar w:fldCharType="separate"/>
      </w:r>
      <w:r w:rsidR="001D35C5">
        <w:t>[7]</w:t>
      </w:r>
      <w:r w:rsidR="001D35C5">
        <w:fldChar w:fldCharType="end"/>
      </w:r>
      <w:r>
        <w:t xml:space="preserve">. The coupling loss distribution is Scenario 2 with 0.75 inter-site correlation coefficient. </w:t>
      </w:r>
      <w:r>
        <w:fldChar w:fldCharType="begin"/>
      </w:r>
      <w:r>
        <w:instrText xml:space="preserve"> REF _Ref434626430 \h </w:instrText>
      </w:r>
      <w:r>
        <w:fldChar w:fldCharType="separate"/>
      </w:r>
      <w:r w:rsidR="00A779CA">
        <w:t xml:space="preserve">Table </w:t>
      </w:r>
      <w:r w:rsidR="00A779CA">
        <w:rPr>
          <w:noProof/>
        </w:rPr>
        <w:t>2</w:t>
      </w:r>
      <w:r>
        <w:fldChar w:fldCharType="end"/>
      </w:r>
      <w:r>
        <w:t xml:space="preserve"> shows the </w:t>
      </w:r>
      <w:r w:rsidR="00052CC3">
        <w:t>NB-</w:t>
      </w:r>
      <w:r>
        <w:t>PRACH collision probability.</w:t>
      </w:r>
      <w:bookmarkStart w:id="6" w:name="_Ref425170165"/>
    </w:p>
    <w:p w14:paraId="255FF2DF" w14:textId="55969DE3" w:rsidR="00AE002C" w:rsidRDefault="00AE002C" w:rsidP="00AE002C">
      <w:pPr>
        <w:pStyle w:val="Caption"/>
      </w:pPr>
      <w:bookmarkStart w:id="7" w:name="_Ref434626430"/>
      <w:r>
        <w:t xml:space="preserve">Table </w:t>
      </w:r>
      <w:r>
        <w:fldChar w:fldCharType="begin"/>
      </w:r>
      <w:r>
        <w:instrText xml:space="preserve"> SEQ Table \* ARABIC </w:instrText>
      </w:r>
      <w:r>
        <w:fldChar w:fldCharType="separate"/>
      </w:r>
      <w:r w:rsidR="00A779CA">
        <w:rPr>
          <w:noProof/>
        </w:rPr>
        <w:t>2</w:t>
      </w:r>
      <w:r>
        <w:rPr>
          <w:noProof/>
        </w:rPr>
        <w:fldChar w:fldCharType="end"/>
      </w:r>
      <w:bookmarkEnd w:id="6"/>
      <w:bookmarkEnd w:id="7"/>
      <w:r>
        <w:t xml:space="preserve">: </w:t>
      </w:r>
      <w:r w:rsidR="00052CC3">
        <w:t>NB-</w:t>
      </w:r>
      <w:r>
        <w:t xml:space="preserve">PRACH collision probability.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1800"/>
        <w:gridCol w:w="1774"/>
        <w:gridCol w:w="1472"/>
      </w:tblGrid>
      <w:tr w:rsidR="00AE002C" w14:paraId="59CE0BCB" w14:textId="77777777" w:rsidTr="00B076ED">
        <w:tc>
          <w:tcPr>
            <w:tcW w:w="2610" w:type="dxa"/>
            <w:shd w:val="clear" w:color="auto" w:fill="DBE5F1"/>
          </w:tcPr>
          <w:p w14:paraId="6CF52A6D" w14:textId="77777777" w:rsidR="00AE002C" w:rsidRDefault="00AE002C" w:rsidP="0084373C">
            <w:pPr>
              <w:jc w:val="center"/>
            </w:pPr>
            <w:r>
              <w:t>Coupling loss</w:t>
            </w:r>
          </w:p>
        </w:tc>
        <w:tc>
          <w:tcPr>
            <w:tcW w:w="1800" w:type="dxa"/>
            <w:shd w:val="clear" w:color="auto" w:fill="DBE5F1"/>
          </w:tcPr>
          <w:p w14:paraId="14699A80" w14:textId="77777777" w:rsidR="00AE002C" w:rsidRDefault="00AE002C" w:rsidP="0084373C">
            <w:pPr>
              <w:jc w:val="center"/>
            </w:pPr>
            <w:r>
              <w:t>&lt;144 dB</w:t>
            </w:r>
          </w:p>
        </w:tc>
        <w:tc>
          <w:tcPr>
            <w:tcW w:w="1774" w:type="dxa"/>
            <w:shd w:val="clear" w:color="auto" w:fill="DBE5F1"/>
          </w:tcPr>
          <w:p w14:paraId="3258E091" w14:textId="77777777" w:rsidR="00AE002C" w:rsidRDefault="00AE002C" w:rsidP="0084373C">
            <w:pPr>
              <w:jc w:val="center"/>
            </w:pPr>
            <w:r>
              <w:t>[144 dB, 154 dB]</w:t>
            </w:r>
          </w:p>
        </w:tc>
        <w:tc>
          <w:tcPr>
            <w:tcW w:w="1472" w:type="dxa"/>
            <w:shd w:val="clear" w:color="auto" w:fill="DBE5F1"/>
          </w:tcPr>
          <w:p w14:paraId="16ABD9C5" w14:textId="77777777" w:rsidR="00AE002C" w:rsidRDefault="00AE002C" w:rsidP="0084373C">
            <w:pPr>
              <w:jc w:val="center"/>
            </w:pPr>
            <w:r>
              <w:t>&gt;154 dB</w:t>
            </w:r>
          </w:p>
        </w:tc>
      </w:tr>
      <w:tr w:rsidR="00AE002C" w14:paraId="2DED31FF" w14:textId="77777777" w:rsidTr="00B076ED">
        <w:tc>
          <w:tcPr>
            <w:tcW w:w="2610" w:type="dxa"/>
            <w:shd w:val="clear" w:color="auto" w:fill="auto"/>
          </w:tcPr>
          <w:p w14:paraId="50A7518C" w14:textId="77777777" w:rsidR="00AE002C" w:rsidRDefault="00AE002C" w:rsidP="0084373C">
            <w:pPr>
              <w:jc w:val="center"/>
            </w:pPr>
            <w:r>
              <w:lastRenderedPageBreak/>
              <w:t>Percentage</w:t>
            </w:r>
          </w:p>
        </w:tc>
        <w:tc>
          <w:tcPr>
            <w:tcW w:w="1800" w:type="dxa"/>
            <w:shd w:val="clear" w:color="auto" w:fill="auto"/>
          </w:tcPr>
          <w:p w14:paraId="3DF049CB" w14:textId="77777777" w:rsidR="00AE002C" w:rsidRDefault="00AE002C" w:rsidP="0084373C">
            <w:pPr>
              <w:jc w:val="center"/>
            </w:pPr>
            <w:r w:rsidRPr="00F67ECD">
              <w:t>88.5%</w:t>
            </w:r>
          </w:p>
        </w:tc>
        <w:tc>
          <w:tcPr>
            <w:tcW w:w="1774" w:type="dxa"/>
          </w:tcPr>
          <w:p w14:paraId="464BB3BB" w14:textId="77777777" w:rsidR="00AE002C" w:rsidRDefault="00AE002C" w:rsidP="0084373C">
            <w:pPr>
              <w:jc w:val="center"/>
            </w:pPr>
            <w:r w:rsidRPr="00F67ECD">
              <w:t>8.9%</w:t>
            </w:r>
          </w:p>
        </w:tc>
        <w:tc>
          <w:tcPr>
            <w:tcW w:w="1472" w:type="dxa"/>
          </w:tcPr>
          <w:p w14:paraId="613AF59B" w14:textId="77777777" w:rsidR="00AE002C" w:rsidRDefault="00AE002C" w:rsidP="0084373C">
            <w:pPr>
              <w:jc w:val="center"/>
            </w:pPr>
            <w:r w:rsidRPr="00F67ECD">
              <w:t>2.8%</w:t>
            </w:r>
          </w:p>
        </w:tc>
      </w:tr>
      <w:tr w:rsidR="00AE002C" w14:paraId="64FF1029" w14:textId="77777777" w:rsidTr="00B076ED">
        <w:tc>
          <w:tcPr>
            <w:tcW w:w="2610" w:type="dxa"/>
            <w:shd w:val="clear" w:color="auto" w:fill="auto"/>
          </w:tcPr>
          <w:p w14:paraId="7FA3D2AF" w14:textId="77777777" w:rsidR="00AE002C" w:rsidRDefault="00AE002C" w:rsidP="0084373C">
            <w:pPr>
              <w:jc w:val="center"/>
            </w:pPr>
            <w:r>
              <w:t>Mean arrival rate (/s)</w:t>
            </w:r>
          </w:p>
        </w:tc>
        <w:tc>
          <w:tcPr>
            <w:tcW w:w="1800" w:type="dxa"/>
            <w:shd w:val="clear" w:color="auto" w:fill="auto"/>
          </w:tcPr>
          <w:p w14:paraId="4AD6759D" w14:textId="77777777" w:rsidR="00AE002C" w:rsidRDefault="00AE002C" w:rsidP="0084373C">
            <w:pPr>
              <w:jc w:val="center"/>
            </w:pPr>
            <w:r w:rsidRPr="007A065B">
              <w:t>5.43</w:t>
            </w:r>
          </w:p>
        </w:tc>
        <w:tc>
          <w:tcPr>
            <w:tcW w:w="1774" w:type="dxa"/>
          </w:tcPr>
          <w:p w14:paraId="206AF369" w14:textId="77777777" w:rsidR="00AE002C" w:rsidRDefault="00AE002C" w:rsidP="0084373C">
            <w:pPr>
              <w:jc w:val="center"/>
            </w:pPr>
            <w:r w:rsidRPr="007A065B">
              <w:t>0.54</w:t>
            </w:r>
          </w:p>
        </w:tc>
        <w:tc>
          <w:tcPr>
            <w:tcW w:w="1472" w:type="dxa"/>
          </w:tcPr>
          <w:p w14:paraId="4208C1C9" w14:textId="77777777" w:rsidR="00AE002C" w:rsidRDefault="00AE002C" w:rsidP="0084373C">
            <w:pPr>
              <w:jc w:val="center"/>
            </w:pPr>
            <w:r w:rsidRPr="007A065B">
              <w:t>0.17</w:t>
            </w:r>
          </w:p>
        </w:tc>
      </w:tr>
      <w:tr w:rsidR="00AE002C" w14:paraId="6ABCE4DC" w14:textId="77777777" w:rsidTr="00B076ED">
        <w:tc>
          <w:tcPr>
            <w:tcW w:w="2610" w:type="dxa"/>
            <w:shd w:val="clear" w:color="auto" w:fill="auto"/>
          </w:tcPr>
          <w:p w14:paraId="281BF46D" w14:textId="0E33E044" w:rsidR="00AE002C" w:rsidRDefault="00052CC3" w:rsidP="0084373C">
            <w:pPr>
              <w:jc w:val="center"/>
            </w:pPr>
            <w:r>
              <w:t>NB-</w:t>
            </w:r>
            <w:r w:rsidR="00AE002C">
              <w:t>PRACH resources (/s)</w:t>
            </w:r>
          </w:p>
        </w:tc>
        <w:tc>
          <w:tcPr>
            <w:tcW w:w="1800" w:type="dxa"/>
            <w:shd w:val="clear" w:color="auto" w:fill="auto"/>
          </w:tcPr>
          <w:p w14:paraId="537CB2EB" w14:textId="77777777" w:rsidR="00AE002C" w:rsidRPr="007A065B" w:rsidRDefault="00AE002C" w:rsidP="0084373C">
            <w:pPr>
              <w:jc w:val="center"/>
            </w:pPr>
            <w:r w:rsidRPr="00A37A06">
              <w:t>168.8</w:t>
            </w:r>
          </w:p>
        </w:tc>
        <w:tc>
          <w:tcPr>
            <w:tcW w:w="1774" w:type="dxa"/>
          </w:tcPr>
          <w:p w14:paraId="71E8B97C" w14:textId="77777777" w:rsidR="00AE002C" w:rsidRPr="007A065B" w:rsidRDefault="00AE002C" w:rsidP="0084373C">
            <w:pPr>
              <w:jc w:val="center"/>
            </w:pPr>
            <w:r w:rsidRPr="00A37A06">
              <w:t>28.1</w:t>
            </w:r>
          </w:p>
        </w:tc>
        <w:tc>
          <w:tcPr>
            <w:tcW w:w="1472" w:type="dxa"/>
          </w:tcPr>
          <w:p w14:paraId="0820BB44" w14:textId="77777777" w:rsidR="00AE002C" w:rsidRPr="007A065B" w:rsidRDefault="00AE002C" w:rsidP="0084373C">
            <w:pPr>
              <w:jc w:val="center"/>
            </w:pPr>
            <w:r w:rsidRPr="00A37A06">
              <w:t>14.1</w:t>
            </w:r>
          </w:p>
        </w:tc>
      </w:tr>
      <w:tr w:rsidR="00AE002C" w14:paraId="3D115667" w14:textId="77777777" w:rsidTr="00B076ED">
        <w:tc>
          <w:tcPr>
            <w:tcW w:w="2610" w:type="dxa"/>
            <w:shd w:val="clear" w:color="auto" w:fill="auto"/>
          </w:tcPr>
          <w:p w14:paraId="6BA4BEDC" w14:textId="77777777" w:rsidR="00AE002C" w:rsidRDefault="00AE002C" w:rsidP="0084373C">
            <w:pPr>
              <w:jc w:val="center"/>
            </w:pPr>
            <w:r>
              <w:t>P</w:t>
            </w:r>
            <w:r w:rsidRPr="00F84802">
              <w:t xml:space="preserve">Collision </w:t>
            </w:r>
          </w:p>
        </w:tc>
        <w:tc>
          <w:tcPr>
            <w:tcW w:w="1800" w:type="dxa"/>
            <w:shd w:val="clear" w:color="auto" w:fill="auto"/>
          </w:tcPr>
          <w:p w14:paraId="2A3AF030" w14:textId="77777777" w:rsidR="00AE002C" w:rsidRPr="007A065B" w:rsidRDefault="00AE002C" w:rsidP="0084373C">
            <w:pPr>
              <w:jc w:val="center"/>
            </w:pPr>
            <w:r w:rsidRPr="00F84802">
              <w:t>0.051%</w:t>
            </w:r>
          </w:p>
        </w:tc>
        <w:tc>
          <w:tcPr>
            <w:tcW w:w="1774" w:type="dxa"/>
          </w:tcPr>
          <w:p w14:paraId="321D3B6D" w14:textId="77777777" w:rsidR="00AE002C" w:rsidRPr="007A065B" w:rsidRDefault="00AE002C" w:rsidP="0084373C">
            <w:pPr>
              <w:jc w:val="center"/>
            </w:pPr>
            <w:r w:rsidRPr="00F84802">
              <w:t>0.019%</w:t>
            </w:r>
          </w:p>
        </w:tc>
        <w:tc>
          <w:tcPr>
            <w:tcW w:w="1472" w:type="dxa"/>
          </w:tcPr>
          <w:p w14:paraId="267DA435" w14:textId="77777777" w:rsidR="00AE002C" w:rsidRPr="007A065B" w:rsidRDefault="00AE002C" w:rsidP="0084373C">
            <w:pPr>
              <w:jc w:val="center"/>
            </w:pPr>
            <w:r w:rsidRPr="00F84802">
              <w:t>0.007%</w:t>
            </w:r>
          </w:p>
        </w:tc>
      </w:tr>
      <w:tr w:rsidR="00A01289" w14:paraId="077B7B5E" w14:textId="77777777" w:rsidTr="00B076ED">
        <w:tc>
          <w:tcPr>
            <w:tcW w:w="7656" w:type="dxa"/>
            <w:gridSpan w:val="4"/>
            <w:shd w:val="clear" w:color="auto" w:fill="auto"/>
          </w:tcPr>
          <w:p w14:paraId="39C2F69B" w14:textId="3618197D" w:rsidR="00A01289" w:rsidRPr="00F84802" w:rsidRDefault="00A01289" w:rsidP="00A01289">
            <w:pPr>
              <w:jc w:val="left"/>
            </w:pPr>
            <w:r>
              <w:t>Note: Format 2</w:t>
            </w:r>
            <w:r w:rsidR="003E1145">
              <w:t xml:space="preserve"> for greater than 154 dB</w:t>
            </w:r>
            <w:r>
              <w:t xml:space="preserve"> is not Zadoff-Chu sequences based </w:t>
            </w:r>
            <w:r w:rsidR="00052CC3">
              <w:t>NB-</w:t>
            </w:r>
            <w:r>
              <w:t>PRACH design.</w:t>
            </w:r>
          </w:p>
        </w:tc>
      </w:tr>
    </w:tbl>
    <w:p w14:paraId="77F7B9C8" w14:textId="77777777" w:rsidR="00A01289" w:rsidRDefault="00A01289" w:rsidP="00AE002C"/>
    <w:p w14:paraId="0EACF367" w14:textId="296F8398" w:rsidR="00AE002C" w:rsidRDefault="00AE002C" w:rsidP="00AE002C">
      <w:r>
        <w:t xml:space="preserve">From the results, it is clear that 18 preambles per coverage level provide more than sufficiently low </w:t>
      </w:r>
      <w:r w:rsidR="00052CC3">
        <w:t>NB-</w:t>
      </w:r>
      <w:r>
        <w:t>PRACH collision probability</w:t>
      </w:r>
      <w:r w:rsidR="001D35C5">
        <w:t xml:space="preserve"> for contention-based random access</w:t>
      </w:r>
      <w:r>
        <w:t xml:space="preserve">. </w:t>
      </w:r>
    </w:p>
    <w:p w14:paraId="299D9F54" w14:textId="77777777" w:rsidR="00453445" w:rsidRDefault="00453445" w:rsidP="00AE002C"/>
    <w:p w14:paraId="2C955FF3" w14:textId="0D6A4CD6" w:rsidR="004106AB" w:rsidRDefault="00AF3225" w:rsidP="004106AB">
      <w:pPr>
        <w:rPr>
          <w:i/>
        </w:rPr>
      </w:pPr>
      <w:r w:rsidRPr="00AF3225">
        <w:rPr>
          <w:i/>
        </w:rPr>
        <w:t xml:space="preserve">Proposal </w:t>
      </w:r>
      <w:r w:rsidR="00D044BA">
        <w:rPr>
          <w:i/>
        </w:rPr>
        <w:t>7</w:t>
      </w:r>
      <w:r w:rsidRPr="00AF3225">
        <w:rPr>
          <w:i/>
        </w:rPr>
        <w:t>: Use no more than 64 preambles</w:t>
      </w:r>
      <w:r w:rsidR="003E1657">
        <w:rPr>
          <w:i/>
        </w:rPr>
        <w:t xml:space="preserve"> per coverage class</w:t>
      </w:r>
      <w:r w:rsidRPr="00AF3225">
        <w:rPr>
          <w:i/>
        </w:rPr>
        <w:t xml:space="preserve"> for NB-IoT </w:t>
      </w:r>
      <w:r w:rsidR="00052CC3">
        <w:rPr>
          <w:i/>
        </w:rPr>
        <w:t>NB-</w:t>
      </w:r>
      <w:r w:rsidRPr="00AF3225">
        <w:rPr>
          <w:i/>
        </w:rPr>
        <w:t>PRACH.</w:t>
      </w:r>
    </w:p>
    <w:p w14:paraId="258A5B4F" w14:textId="58A3B66F" w:rsidR="00490EB5" w:rsidRDefault="00490EB5" w:rsidP="004106AB">
      <w:pPr>
        <w:rPr>
          <w:i/>
        </w:rPr>
      </w:pPr>
      <w:r w:rsidRPr="00490EB5">
        <w:rPr>
          <w:i/>
        </w:rPr>
        <w:t xml:space="preserve">Proposal </w:t>
      </w:r>
      <w:r w:rsidR="00D044BA">
        <w:rPr>
          <w:i/>
        </w:rPr>
        <w:t>8</w:t>
      </w:r>
      <w:r w:rsidRPr="00490EB5">
        <w:rPr>
          <w:i/>
        </w:rPr>
        <w:t xml:space="preserve">: The exact number of preambles supported for NB-IoT should be decided. </w:t>
      </w:r>
    </w:p>
    <w:p w14:paraId="1EF62E30" w14:textId="77777777" w:rsidR="00453445" w:rsidRPr="00453445" w:rsidRDefault="00453445" w:rsidP="004106AB">
      <w:pPr>
        <w:rPr>
          <w:i/>
        </w:rPr>
      </w:pPr>
    </w:p>
    <w:p w14:paraId="30FB1D07" w14:textId="1DAF6F07" w:rsidR="004106AB" w:rsidRDefault="00AE002C" w:rsidP="00AE002C">
      <w:pPr>
        <w:pStyle w:val="Heading2"/>
      </w:pPr>
      <w:r>
        <w:t>Preamble Sequence Selection</w:t>
      </w:r>
    </w:p>
    <w:p w14:paraId="01D9BFAD" w14:textId="69B0DD64" w:rsidR="00AE002C" w:rsidRDefault="006B3F63" w:rsidP="00ED6531">
      <w:r>
        <w:t xml:space="preserve">The multi-tone nature of Zadoff-Chu sequences based </w:t>
      </w:r>
      <w:r w:rsidR="00052CC3">
        <w:t>NB-</w:t>
      </w:r>
      <w:r>
        <w:t xml:space="preserve">PRACH transmission </w:t>
      </w:r>
      <w:r w:rsidR="008B2FB4">
        <w:t xml:space="preserve">leads to non-constant envelope </w:t>
      </w:r>
      <w:r>
        <w:t xml:space="preserve">signals. </w:t>
      </w:r>
      <w:r w:rsidR="008E517D">
        <w:t xml:space="preserve">For example, </w:t>
      </w:r>
      <w:r w:rsidR="008E517D">
        <w:fldChar w:fldCharType="begin"/>
      </w:r>
      <w:r w:rsidR="008E517D">
        <w:instrText xml:space="preserve"> REF _Ref436143669 \h </w:instrText>
      </w:r>
      <w:r w:rsidR="008E517D">
        <w:fldChar w:fldCharType="separate"/>
      </w:r>
      <w:r w:rsidR="00A779CA">
        <w:t xml:space="preserve">Figure </w:t>
      </w:r>
      <w:r w:rsidR="00A779CA">
        <w:rPr>
          <w:noProof/>
        </w:rPr>
        <w:t>4</w:t>
      </w:r>
      <w:r w:rsidR="008E517D">
        <w:fldChar w:fldCharType="end"/>
      </w:r>
      <w:r w:rsidR="008E517D">
        <w:t xml:space="preserve"> shows the PAPR and cubic metric (CM)</w:t>
      </w:r>
      <w:r w:rsidR="00CE0BC2">
        <w:t xml:space="preserve"> for the length-251 Zadoff-Chu s</w:t>
      </w:r>
      <w:r w:rsidR="008E517D">
        <w:t>equences</w:t>
      </w:r>
      <w:r w:rsidR="00CE0BC2">
        <w:t xml:space="preserve"> as a function of sequence root</w:t>
      </w:r>
      <w:r w:rsidR="008E517D">
        <w:t xml:space="preserve"> (without cyclic shifts).</w:t>
      </w:r>
    </w:p>
    <w:p w14:paraId="7531CEAE" w14:textId="6007C08B" w:rsidR="00C06B72" w:rsidRDefault="00C06B72" w:rsidP="00407DA3">
      <w:r>
        <w:t xml:space="preserve">Once the </w:t>
      </w:r>
      <w:r w:rsidR="00052CC3">
        <w:t>NB-</w:t>
      </w:r>
      <w:r>
        <w:t xml:space="preserve">PRACH bandwidth and subcarrier spacing are agreed for NB-IoT </w:t>
      </w:r>
      <w:r w:rsidR="00052CC3">
        <w:t>NB-</w:t>
      </w:r>
      <w:r>
        <w:t xml:space="preserve">PRACH, a careful preamble sequence selection is needed to help reduce UE complexity and save UE battery. In particular, </w:t>
      </w:r>
      <w:r w:rsidR="00407DA3">
        <w:t>w</w:t>
      </w:r>
      <w:r>
        <w:t>hich</w:t>
      </w:r>
      <w:r w:rsidR="003B2869">
        <w:t xml:space="preserve"> subset</w:t>
      </w:r>
      <w:r>
        <w:t xml:space="preserve"> of the available Zadoff-Chu sequences should be selected?</w:t>
      </w:r>
    </w:p>
    <w:p w14:paraId="199B074C" w14:textId="77777777" w:rsidR="00AE002C" w:rsidRDefault="00AE002C" w:rsidP="00ED6531"/>
    <w:p w14:paraId="60712D2A" w14:textId="7AB64CCC" w:rsidR="006B3F63" w:rsidRDefault="006B3F63" w:rsidP="006B3F63">
      <w:pPr>
        <w:jc w:val="center"/>
      </w:pPr>
      <w:r>
        <w:rPr>
          <w:noProof/>
          <w:lang w:val="en-US"/>
        </w:rPr>
        <w:drawing>
          <wp:inline distT="0" distB="0" distL="0" distR="0" wp14:anchorId="17C6EC33" wp14:editId="03FD7FEA">
            <wp:extent cx="2769668" cy="217993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78678" cy="2187022"/>
                    </a:xfrm>
                    <a:prstGeom prst="rect">
                      <a:avLst/>
                    </a:prstGeom>
                  </pic:spPr>
                </pic:pic>
              </a:graphicData>
            </a:graphic>
          </wp:inline>
        </w:drawing>
      </w:r>
      <w:r w:rsidR="00656CEB" w:rsidRPr="00656CEB">
        <w:rPr>
          <w:noProof/>
          <w:lang w:val="en-US"/>
        </w:rPr>
        <w:t xml:space="preserve"> </w:t>
      </w:r>
      <w:r w:rsidR="00656CEB">
        <w:rPr>
          <w:noProof/>
          <w:lang w:val="en-US"/>
        </w:rPr>
        <w:drawing>
          <wp:inline distT="0" distB="0" distL="0" distR="0" wp14:anchorId="79507456" wp14:editId="3F512B41">
            <wp:extent cx="3211309" cy="2299707"/>
            <wp:effectExtent l="0" t="0" r="8255" b="5715"/>
            <wp:docPr id="5" name="Picture 5" descr="C:\local_data\MassiveMTC\Matlab\NB_LTE_RACH\Results\cubicMetr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local_data\MassiveMTC\Matlab\NB_LTE_RACH\Results\cubicMetric.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26518" cy="2310599"/>
                    </a:xfrm>
                    <a:prstGeom prst="rect">
                      <a:avLst/>
                    </a:prstGeom>
                    <a:noFill/>
                    <a:ln>
                      <a:noFill/>
                    </a:ln>
                  </pic:spPr>
                </pic:pic>
              </a:graphicData>
            </a:graphic>
          </wp:inline>
        </w:drawing>
      </w:r>
    </w:p>
    <w:p w14:paraId="124B17C5" w14:textId="5A40EE63" w:rsidR="006B3F63" w:rsidRDefault="006B3F63" w:rsidP="006B3F63">
      <w:pPr>
        <w:pStyle w:val="Caption"/>
      </w:pPr>
      <w:bookmarkStart w:id="8" w:name="_Ref436143669"/>
      <w:r>
        <w:t xml:space="preserve">Figure </w:t>
      </w:r>
      <w:r>
        <w:fldChar w:fldCharType="begin"/>
      </w:r>
      <w:r>
        <w:instrText xml:space="preserve"> SEQ Figure \* ARABIC </w:instrText>
      </w:r>
      <w:r>
        <w:fldChar w:fldCharType="separate"/>
      </w:r>
      <w:r w:rsidR="00A779CA">
        <w:rPr>
          <w:noProof/>
        </w:rPr>
        <w:t>4</w:t>
      </w:r>
      <w:r>
        <w:fldChar w:fldCharType="end"/>
      </w:r>
      <w:bookmarkEnd w:id="8"/>
      <w:r>
        <w:t xml:space="preserve">: </w:t>
      </w:r>
      <w:r w:rsidR="00656CEB">
        <w:t>Preamble PAPR and CM</w:t>
      </w:r>
      <w:r>
        <w:t xml:space="preserve"> with FFT interpolation and mod Pi phase interpolation</w:t>
      </w:r>
      <w:r w:rsidR="00052CC3">
        <w:t xml:space="preserve"> [8]</w:t>
      </w:r>
    </w:p>
    <w:p w14:paraId="547799CA" w14:textId="4C5C81D5" w:rsidR="00AC0199" w:rsidRDefault="00490EB5" w:rsidP="00ED6531">
      <w:r>
        <w:t>It is widely recognized that CM is a better metric than PAPR to measure the required power amplifier backoff. Therefore,</w:t>
      </w:r>
      <w:r w:rsidR="00F44321">
        <w:t xml:space="preserve"> in our view,</w:t>
      </w:r>
      <w:r>
        <w:t xml:space="preserve"> CM should be used when selecting</w:t>
      </w:r>
      <w:r w:rsidR="00A24727">
        <w:t xml:space="preserve"> the sequences</w:t>
      </w:r>
      <w:r w:rsidR="00963D1F">
        <w:t>. A</w:t>
      </w:r>
      <w:r>
        <w:t xml:space="preserve"> CM threshold</w:t>
      </w:r>
      <w:r w:rsidR="00963D1F">
        <w:t xml:space="preserve"> can be set</w:t>
      </w:r>
      <w:r>
        <w:t xml:space="preserve"> when selecting the </w:t>
      </w:r>
      <w:r w:rsidR="00963D1F">
        <w:t>sequences</w:t>
      </w:r>
      <w:r w:rsidR="009F0485">
        <w:t>: Only the sequences with the CMs</w:t>
      </w:r>
      <w:r>
        <w:t xml:space="preserve"> lower than the threshold</w:t>
      </w:r>
      <w:r w:rsidR="009F0485">
        <w:t xml:space="preserve"> should be specified</w:t>
      </w:r>
      <w:r>
        <w:t xml:space="preserve"> for NB-IoT </w:t>
      </w:r>
      <w:r w:rsidR="003D0A8F">
        <w:t>NB-</w:t>
      </w:r>
      <w:r>
        <w:t>PRACH.</w:t>
      </w:r>
      <w:r w:rsidR="009F0485">
        <w:t xml:space="preserve"> After the</w:t>
      </w:r>
      <w:r w:rsidR="001C004F">
        <w:t xml:space="preserve"> down selection, a</w:t>
      </w:r>
      <w:r w:rsidR="009F0485">
        <w:t xml:space="preserve"> further selection can be performed to select the </w:t>
      </w:r>
      <w:r w:rsidR="005E08FB">
        <w:t xml:space="preserve">sequences with </w:t>
      </w:r>
      <w:r w:rsidR="001C004F">
        <w:t xml:space="preserve">specific </w:t>
      </w:r>
      <w:r w:rsidR="009F0485">
        <w:t>root indices an</w:t>
      </w:r>
      <w:r w:rsidR="005E08FB">
        <w:t>d cyclic shifts</w:t>
      </w:r>
      <w:r w:rsidR="009F0485">
        <w:t>.</w:t>
      </w:r>
    </w:p>
    <w:p w14:paraId="06B89AC1" w14:textId="77777777" w:rsidR="00F3019B" w:rsidRDefault="00F3019B" w:rsidP="00ED6531"/>
    <w:p w14:paraId="78077D84" w14:textId="16861E82" w:rsidR="006B3F63" w:rsidRPr="008E1BEB" w:rsidRDefault="005C641A" w:rsidP="00ED6531">
      <w:pPr>
        <w:rPr>
          <w:i/>
        </w:rPr>
      </w:pPr>
      <w:r w:rsidRPr="008E1BEB">
        <w:rPr>
          <w:i/>
        </w:rPr>
        <w:t>Proposal</w:t>
      </w:r>
      <w:r w:rsidR="008E1BEB" w:rsidRPr="008E1BEB">
        <w:rPr>
          <w:i/>
        </w:rPr>
        <w:t xml:space="preserve"> </w:t>
      </w:r>
      <w:r w:rsidR="00D044BA">
        <w:rPr>
          <w:i/>
        </w:rPr>
        <w:t>9</w:t>
      </w:r>
      <w:r w:rsidRPr="008E1BEB">
        <w:rPr>
          <w:i/>
        </w:rPr>
        <w:t xml:space="preserve">: </w:t>
      </w:r>
      <w:r w:rsidR="006B3F63" w:rsidRPr="008E1BEB">
        <w:rPr>
          <w:i/>
        </w:rPr>
        <w:t xml:space="preserve">Use </w:t>
      </w:r>
      <w:r w:rsidR="00C91AC8">
        <w:rPr>
          <w:i/>
        </w:rPr>
        <w:t>cubic metric to select preamble sequences for NB-IoT</w:t>
      </w:r>
      <w:r w:rsidR="006B3F63" w:rsidRPr="008E1BEB">
        <w:rPr>
          <w:i/>
        </w:rPr>
        <w:t>.</w:t>
      </w:r>
    </w:p>
    <w:p w14:paraId="41140F87" w14:textId="719DE8D9" w:rsidR="005C641A" w:rsidRPr="008E1BEB" w:rsidRDefault="006B3F63" w:rsidP="00ED6531">
      <w:pPr>
        <w:rPr>
          <w:i/>
        </w:rPr>
      </w:pPr>
      <w:r w:rsidRPr="008E1BEB">
        <w:rPr>
          <w:i/>
        </w:rPr>
        <w:t>Proposal</w:t>
      </w:r>
      <w:r w:rsidR="008E1BEB" w:rsidRPr="008E1BEB">
        <w:rPr>
          <w:i/>
        </w:rPr>
        <w:t xml:space="preserve"> </w:t>
      </w:r>
      <w:r w:rsidR="00D044BA">
        <w:rPr>
          <w:i/>
        </w:rPr>
        <w:t>10</w:t>
      </w:r>
      <w:r w:rsidRPr="008E1BEB">
        <w:rPr>
          <w:i/>
        </w:rPr>
        <w:t xml:space="preserve">: </w:t>
      </w:r>
      <w:r w:rsidR="005C641A" w:rsidRPr="008E1BEB">
        <w:rPr>
          <w:i/>
        </w:rPr>
        <w:t>The</w:t>
      </w:r>
      <w:r w:rsidRPr="008E1BEB">
        <w:rPr>
          <w:i/>
        </w:rPr>
        <w:t xml:space="preserve"> </w:t>
      </w:r>
      <w:r w:rsidR="00800251">
        <w:rPr>
          <w:i/>
        </w:rPr>
        <w:t>cubic metric</w:t>
      </w:r>
      <w:r w:rsidR="005C641A" w:rsidRPr="008E1BEB">
        <w:rPr>
          <w:i/>
        </w:rPr>
        <w:t xml:space="preserve"> threshold</w:t>
      </w:r>
      <w:r w:rsidR="00BC575F" w:rsidRPr="008E1BEB">
        <w:rPr>
          <w:i/>
        </w:rPr>
        <w:t xml:space="preserve"> used to select preambles should</w:t>
      </w:r>
      <w:r w:rsidR="005C641A" w:rsidRPr="008E1BEB">
        <w:rPr>
          <w:i/>
        </w:rPr>
        <w:t xml:space="preserve"> to be decided.</w:t>
      </w:r>
    </w:p>
    <w:p w14:paraId="3412523D" w14:textId="1A4B8A0A" w:rsidR="0010354A" w:rsidRDefault="0010354A" w:rsidP="00ED6531">
      <w:pPr>
        <w:rPr>
          <w:i/>
        </w:rPr>
      </w:pPr>
      <w:r w:rsidRPr="008E1BEB">
        <w:rPr>
          <w:i/>
        </w:rPr>
        <w:t>Proposal</w:t>
      </w:r>
      <w:r w:rsidR="008E1BEB" w:rsidRPr="008E1BEB">
        <w:rPr>
          <w:i/>
        </w:rPr>
        <w:t xml:space="preserve"> 1</w:t>
      </w:r>
      <w:r w:rsidR="00D044BA">
        <w:rPr>
          <w:i/>
        </w:rPr>
        <w:t>1</w:t>
      </w:r>
      <w:r w:rsidRPr="008E1BEB">
        <w:rPr>
          <w:i/>
        </w:rPr>
        <w:t>: The set of preambles used</w:t>
      </w:r>
      <w:r w:rsidR="008E1BEB">
        <w:rPr>
          <w:i/>
        </w:rPr>
        <w:t xml:space="preserve"> for NB-IoT</w:t>
      </w:r>
      <w:r w:rsidRPr="008E1BEB">
        <w:rPr>
          <w:i/>
        </w:rPr>
        <w:t xml:space="preserve"> should be specified</w:t>
      </w:r>
      <w:r w:rsidR="00910677" w:rsidRPr="008E1BEB">
        <w:rPr>
          <w:i/>
        </w:rPr>
        <w:t>.</w:t>
      </w:r>
    </w:p>
    <w:p w14:paraId="11A9373E" w14:textId="77777777" w:rsidR="00ED6531" w:rsidRPr="00ED6531" w:rsidRDefault="00ED6531" w:rsidP="00ED6531"/>
    <w:p w14:paraId="09E5A8CB" w14:textId="10CE4E9A" w:rsidR="006843DD" w:rsidRDefault="006843DD" w:rsidP="006843DD">
      <w:pPr>
        <w:pStyle w:val="Heading2"/>
      </w:pPr>
      <w:r>
        <w:lastRenderedPageBreak/>
        <w:t>Cyclic Prefix</w:t>
      </w:r>
      <w:r w:rsidR="00D138FB">
        <w:t xml:space="preserve"> and </w:t>
      </w:r>
      <w:r w:rsidR="00624196">
        <w:t>Guard Time</w:t>
      </w:r>
      <w:r>
        <w:t xml:space="preserve"> Length</w:t>
      </w:r>
      <w:r w:rsidR="002C1E40">
        <w:t>s</w:t>
      </w:r>
    </w:p>
    <w:p w14:paraId="28E8372C" w14:textId="4FB60FF1" w:rsidR="00135EB8" w:rsidRDefault="00135EB8" w:rsidP="00135EB8">
      <w:pPr>
        <w:pStyle w:val="BodyText"/>
        <w:rPr>
          <w:lang w:eastAsia="ko-KR"/>
        </w:rPr>
      </w:pPr>
      <w:r>
        <w:rPr>
          <w:lang w:eastAsia="ko-KR"/>
        </w:rPr>
        <w:t>The choice of CP length</w:t>
      </w:r>
      <w:r w:rsidR="00D138FB">
        <w:rPr>
          <w:lang w:eastAsia="ko-KR"/>
        </w:rPr>
        <w:t>s</w:t>
      </w:r>
      <w:r>
        <w:rPr>
          <w:lang w:eastAsia="ko-KR"/>
        </w:rPr>
        <w:t xml:space="preserve"> is mainly determined by the supported cell sizes of NB-IoT. In particular, the CP length should be long enough to account for the</w:t>
      </w:r>
      <w:r w:rsidR="00D138FB">
        <w:rPr>
          <w:lang w:eastAsia="ko-KR"/>
        </w:rPr>
        <w:t xml:space="preserve"> uplink</w:t>
      </w:r>
      <w:r>
        <w:rPr>
          <w:lang w:eastAsia="ko-KR"/>
        </w:rPr>
        <w:t xml:space="preserve"> timing uncertainty after downlink synchronization. The largest timing uncertainty can be the sum of (1) maximum round-trip delay, (2) downlink synchronization errors, and (3) channel delay spread (which may</w:t>
      </w:r>
      <w:r w:rsidR="00D138FB">
        <w:rPr>
          <w:lang w:eastAsia="ko-KR"/>
        </w:rPr>
        <w:t xml:space="preserve"> also</w:t>
      </w:r>
      <w:r>
        <w:rPr>
          <w:lang w:eastAsia="ko-KR"/>
        </w:rPr>
        <w:t xml:space="preserve"> include the transmit/receiver filtering effects). </w:t>
      </w:r>
    </w:p>
    <w:p w14:paraId="51A067C1" w14:textId="4D4AB970" w:rsidR="006C3505" w:rsidRDefault="00624196" w:rsidP="00135EB8">
      <w:pPr>
        <w:pStyle w:val="BodyText"/>
        <w:rPr>
          <w:lang w:eastAsia="ko-KR"/>
        </w:rPr>
      </w:pPr>
      <w:r>
        <w:rPr>
          <w:lang w:eastAsia="ko-KR"/>
        </w:rPr>
        <w:t>The guard time</w:t>
      </w:r>
      <w:r w:rsidR="006C3505">
        <w:rPr>
          <w:lang w:eastAsia="ko-KR"/>
        </w:rPr>
        <w:t xml:space="preserve"> length can be ch</w:t>
      </w:r>
      <w:r w:rsidR="00C35FF3">
        <w:rPr>
          <w:lang w:eastAsia="ko-KR"/>
        </w:rPr>
        <w:t>osen to equal to the CP length. (</w:t>
      </w:r>
      <w:r w:rsidR="006C3505">
        <w:rPr>
          <w:lang w:eastAsia="ko-KR"/>
        </w:rPr>
        <w:t xml:space="preserve">Some minor optimizations may </w:t>
      </w:r>
      <w:r w:rsidR="006B4CD6">
        <w:rPr>
          <w:lang w:eastAsia="ko-KR"/>
        </w:rPr>
        <w:t xml:space="preserve">be further </w:t>
      </w:r>
      <w:r w:rsidR="006C3505">
        <w:rPr>
          <w:lang w:eastAsia="ko-KR"/>
        </w:rPr>
        <w:t>discussed.</w:t>
      </w:r>
      <w:r w:rsidR="00C35FF3">
        <w:rPr>
          <w:lang w:eastAsia="ko-KR"/>
        </w:rPr>
        <w:t>)</w:t>
      </w:r>
    </w:p>
    <w:p w14:paraId="09C7E32F" w14:textId="7721BC6E" w:rsidR="002A6373" w:rsidRDefault="007D19C6" w:rsidP="00135EB8">
      <w:pPr>
        <w:pStyle w:val="BodyText"/>
        <w:rPr>
          <w:lang w:eastAsia="ko-KR"/>
        </w:rPr>
      </w:pPr>
      <w:r>
        <w:rPr>
          <w:lang w:eastAsia="ko-KR"/>
        </w:rPr>
        <w:t>For NB-IoT, t</w:t>
      </w:r>
      <w:r w:rsidR="00135EB8">
        <w:rPr>
          <w:lang w:eastAsia="ko-KR"/>
        </w:rPr>
        <w:t xml:space="preserve">he largest supported cell size </w:t>
      </w:r>
      <w:r w:rsidR="00DC0767">
        <w:rPr>
          <w:lang w:eastAsia="ko-KR"/>
        </w:rPr>
        <w:t>required in the GERAN study item</w:t>
      </w:r>
      <w:r w:rsidR="00135EB8">
        <w:rPr>
          <w:lang w:eastAsia="ko-KR"/>
        </w:rPr>
        <w:t xml:space="preserve"> </w:t>
      </w:r>
      <w:r>
        <w:rPr>
          <w:lang w:eastAsia="ko-KR"/>
        </w:rPr>
        <w:t>is 35 km</w:t>
      </w:r>
      <w:r w:rsidR="00DC0767">
        <w:rPr>
          <w:lang w:eastAsia="ko-KR"/>
        </w:rPr>
        <w:t xml:space="preserve"> </w:t>
      </w:r>
      <w:r w:rsidR="00DC0767">
        <w:rPr>
          <w:lang w:eastAsia="ko-KR"/>
        </w:rPr>
        <w:fldChar w:fldCharType="begin"/>
      </w:r>
      <w:r w:rsidR="00DC0767">
        <w:rPr>
          <w:lang w:eastAsia="ko-KR"/>
        </w:rPr>
        <w:instrText xml:space="preserve"> REF _Ref425165970 \r \h </w:instrText>
      </w:r>
      <w:r w:rsidR="00DC0767">
        <w:rPr>
          <w:lang w:eastAsia="ko-KR"/>
        </w:rPr>
      </w:r>
      <w:r w:rsidR="00DC0767">
        <w:rPr>
          <w:lang w:eastAsia="ko-KR"/>
        </w:rPr>
        <w:fldChar w:fldCharType="separate"/>
      </w:r>
      <w:r w:rsidR="00DC0767">
        <w:rPr>
          <w:lang w:eastAsia="ko-KR"/>
        </w:rPr>
        <w:t>[7]</w:t>
      </w:r>
      <w:r w:rsidR="00DC0767">
        <w:rPr>
          <w:lang w:eastAsia="ko-KR"/>
        </w:rPr>
        <w:fldChar w:fldCharType="end"/>
      </w:r>
      <w:r>
        <w:rPr>
          <w:lang w:eastAsia="ko-KR"/>
        </w:rPr>
        <w:t xml:space="preserve">, leading to a maximum of 233.3 us round-trip delay. </w:t>
      </w:r>
      <w:r w:rsidR="00D138FB">
        <w:rPr>
          <w:lang w:eastAsia="ko-KR"/>
        </w:rPr>
        <w:t>For TDD deployment, assuming 0.8 ms preamble length</w:t>
      </w:r>
      <w:r>
        <w:rPr>
          <w:lang w:eastAsia="ko-KR"/>
        </w:rPr>
        <w:t xml:space="preserve"> </w:t>
      </w:r>
      <w:r w:rsidR="00624196">
        <w:rPr>
          <w:lang w:eastAsia="ko-KR"/>
        </w:rPr>
        <w:t xml:space="preserve">with 1.25 kHz subcarrier spacing, the CP </w:t>
      </w:r>
      <w:r w:rsidR="0093242B">
        <w:rPr>
          <w:lang w:eastAsia="ko-KR"/>
        </w:rPr>
        <w:t>length and</w:t>
      </w:r>
      <w:r w:rsidR="00624196">
        <w:rPr>
          <w:lang w:eastAsia="ko-KR"/>
        </w:rPr>
        <w:t xml:space="preserve"> guard</w:t>
      </w:r>
      <w:r w:rsidR="0093242B">
        <w:rPr>
          <w:lang w:eastAsia="ko-KR"/>
        </w:rPr>
        <w:t xml:space="preserve"> time length are 100 us if the transmission is constrained to 1 ms subframe.</w:t>
      </w:r>
      <w:r w:rsidR="00F648FC">
        <w:rPr>
          <w:lang w:eastAsia="ko-KR"/>
        </w:rPr>
        <w:t xml:space="preserve"> Therefore, it is necessary to introduce different CP lengths for </w:t>
      </w:r>
      <w:r w:rsidR="003D0A8F">
        <w:rPr>
          <w:lang w:eastAsia="ko-KR"/>
        </w:rPr>
        <w:t>NB-</w:t>
      </w:r>
      <w:r w:rsidR="00F648FC">
        <w:rPr>
          <w:lang w:eastAsia="ko-KR"/>
        </w:rPr>
        <w:t xml:space="preserve">PRACH. Nevertheless, </w:t>
      </w:r>
      <w:r w:rsidR="004745C5">
        <w:rPr>
          <w:lang w:eastAsia="ko-KR"/>
        </w:rPr>
        <w:t>we should not</w:t>
      </w:r>
      <w:r w:rsidR="00F648FC">
        <w:rPr>
          <w:lang w:eastAsia="ko-KR"/>
        </w:rPr>
        <w:t xml:space="preserve"> introduce too many CP lengths for </w:t>
      </w:r>
      <w:r w:rsidR="003D0A8F">
        <w:rPr>
          <w:lang w:eastAsia="ko-KR"/>
        </w:rPr>
        <w:t>NB-</w:t>
      </w:r>
      <w:r w:rsidR="00F648FC">
        <w:rPr>
          <w:lang w:eastAsia="ko-KR"/>
        </w:rPr>
        <w:t xml:space="preserve">PRACH </w:t>
      </w:r>
      <w:r w:rsidR="006C13C2">
        <w:rPr>
          <w:lang w:eastAsia="ko-KR"/>
        </w:rPr>
        <w:t>that may result in a high</w:t>
      </w:r>
      <w:r w:rsidR="00F648FC">
        <w:rPr>
          <w:lang w:eastAsia="ko-KR"/>
        </w:rPr>
        <w:t xml:space="preserve"> </w:t>
      </w:r>
      <w:r w:rsidR="003D0A8F">
        <w:rPr>
          <w:lang w:eastAsia="ko-KR"/>
        </w:rPr>
        <w:t>NB-</w:t>
      </w:r>
      <w:r w:rsidR="00F648FC">
        <w:rPr>
          <w:lang w:eastAsia="ko-KR"/>
        </w:rPr>
        <w:t>PRACH configuration signalling overhead.</w:t>
      </w:r>
      <w:r w:rsidR="002A6373">
        <w:rPr>
          <w:lang w:eastAsia="ko-KR"/>
        </w:rPr>
        <w:t xml:space="preserve"> In our view, 2~4 choices should suffice. </w:t>
      </w:r>
      <w:r w:rsidR="003D0A8F">
        <w:rPr>
          <w:lang w:eastAsia="ko-KR"/>
        </w:rPr>
        <w:t>E</w:t>
      </w:r>
      <w:r w:rsidR="009A59C4">
        <w:rPr>
          <w:lang w:eastAsia="ko-KR"/>
        </w:rPr>
        <w:t>xample design choice</w:t>
      </w:r>
      <w:r w:rsidR="003D0A8F">
        <w:rPr>
          <w:lang w:eastAsia="ko-KR"/>
        </w:rPr>
        <w:t>s</w:t>
      </w:r>
      <w:r w:rsidR="009A59C4">
        <w:rPr>
          <w:lang w:eastAsia="ko-KR"/>
        </w:rPr>
        <w:t xml:space="preserve"> of CP length are given in </w:t>
      </w:r>
      <w:r w:rsidR="009A59C4">
        <w:rPr>
          <w:lang w:eastAsia="ko-KR"/>
        </w:rPr>
        <w:fldChar w:fldCharType="begin"/>
      </w:r>
      <w:r w:rsidR="009A59C4">
        <w:rPr>
          <w:lang w:eastAsia="ko-KR"/>
        </w:rPr>
        <w:instrText xml:space="preserve"> REF _Ref436226434 \h </w:instrText>
      </w:r>
      <w:r w:rsidR="009A59C4">
        <w:rPr>
          <w:lang w:eastAsia="ko-KR"/>
        </w:rPr>
      </w:r>
      <w:r w:rsidR="009A59C4">
        <w:rPr>
          <w:lang w:eastAsia="ko-KR"/>
        </w:rPr>
        <w:fldChar w:fldCharType="separate"/>
      </w:r>
      <w:r w:rsidR="009A59C4">
        <w:t xml:space="preserve">Table </w:t>
      </w:r>
      <w:r w:rsidR="009A59C4">
        <w:rPr>
          <w:noProof/>
        </w:rPr>
        <w:t>3</w:t>
      </w:r>
      <w:r w:rsidR="009A59C4">
        <w:rPr>
          <w:lang w:eastAsia="ko-KR"/>
        </w:rPr>
        <w:fldChar w:fldCharType="end"/>
      </w:r>
      <w:r w:rsidR="009A59C4">
        <w:rPr>
          <w:lang w:eastAsia="ko-KR"/>
        </w:rPr>
        <w:t>.</w:t>
      </w:r>
    </w:p>
    <w:p w14:paraId="487AB5B1" w14:textId="6B3D0F0D" w:rsidR="007D19C6" w:rsidRDefault="002A6373" w:rsidP="002A6373">
      <w:pPr>
        <w:pStyle w:val="Caption"/>
        <w:rPr>
          <w:lang w:eastAsia="ko-KR"/>
        </w:rPr>
      </w:pPr>
      <w:bookmarkStart w:id="9" w:name="_Ref436226434"/>
      <w:r>
        <w:t xml:space="preserve">Table </w:t>
      </w:r>
      <w:r>
        <w:fldChar w:fldCharType="begin"/>
      </w:r>
      <w:r>
        <w:instrText xml:space="preserve"> SEQ Table \* ARABIC </w:instrText>
      </w:r>
      <w:r>
        <w:fldChar w:fldCharType="separate"/>
      </w:r>
      <w:r w:rsidR="00A779CA">
        <w:rPr>
          <w:noProof/>
        </w:rPr>
        <w:t>3</w:t>
      </w:r>
      <w:r>
        <w:fldChar w:fldCharType="end"/>
      </w:r>
      <w:bookmarkEnd w:id="9"/>
      <w:r w:rsidR="00F626DB">
        <w:t>: PRACH Cyclic Prefix and Guard Time Lengths</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1161"/>
        <w:gridCol w:w="1117"/>
        <w:gridCol w:w="1272"/>
        <w:gridCol w:w="1402"/>
      </w:tblGrid>
      <w:tr w:rsidR="002A6373" w:rsidRPr="004B7027" w14:paraId="2B22D148" w14:textId="77777777" w:rsidTr="002A6373">
        <w:trPr>
          <w:jc w:val="center"/>
        </w:trPr>
        <w:tc>
          <w:tcPr>
            <w:tcW w:w="1703" w:type="dxa"/>
            <w:shd w:val="clear" w:color="auto" w:fill="DBE5F1"/>
          </w:tcPr>
          <w:p w14:paraId="29881D7F" w14:textId="79416AD4" w:rsidR="002A6373" w:rsidRPr="00E330BC" w:rsidRDefault="002A6373" w:rsidP="0084373C">
            <w:pPr>
              <w:jc w:val="center"/>
            </w:pPr>
            <w:r>
              <w:t>Cell size (km)</w:t>
            </w:r>
          </w:p>
        </w:tc>
        <w:tc>
          <w:tcPr>
            <w:tcW w:w="1161" w:type="dxa"/>
            <w:shd w:val="clear" w:color="auto" w:fill="DBE5F1"/>
          </w:tcPr>
          <w:p w14:paraId="65E058B1" w14:textId="5FCCD75B" w:rsidR="002A6373" w:rsidRPr="00E330BC" w:rsidRDefault="002A6373" w:rsidP="0084373C">
            <w:pPr>
              <w:jc w:val="center"/>
            </w:pPr>
            <w:r>
              <w:t>7.5</w:t>
            </w:r>
          </w:p>
        </w:tc>
        <w:tc>
          <w:tcPr>
            <w:tcW w:w="1117" w:type="dxa"/>
            <w:shd w:val="clear" w:color="auto" w:fill="DBE5F1"/>
          </w:tcPr>
          <w:p w14:paraId="6AB76A0C" w14:textId="0E9EA7B9" w:rsidR="002A6373" w:rsidRPr="00E330BC" w:rsidRDefault="002A6373" w:rsidP="0084373C">
            <w:pPr>
              <w:jc w:val="center"/>
            </w:pPr>
            <w:r>
              <w:t>15</w:t>
            </w:r>
          </w:p>
        </w:tc>
        <w:tc>
          <w:tcPr>
            <w:tcW w:w="1272" w:type="dxa"/>
            <w:shd w:val="clear" w:color="auto" w:fill="DBE5F1"/>
          </w:tcPr>
          <w:p w14:paraId="196C2FD8" w14:textId="02B5D98E" w:rsidR="002A6373" w:rsidRPr="00E330BC" w:rsidRDefault="002A6373" w:rsidP="0084373C">
            <w:pPr>
              <w:jc w:val="center"/>
            </w:pPr>
            <w:r>
              <w:t>30</w:t>
            </w:r>
          </w:p>
        </w:tc>
        <w:tc>
          <w:tcPr>
            <w:tcW w:w="1402" w:type="dxa"/>
            <w:shd w:val="clear" w:color="auto" w:fill="DBE5F1"/>
          </w:tcPr>
          <w:p w14:paraId="66743102" w14:textId="4B7F793A" w:rsidR="002A6373" w:rsidRPr="00E330BC" w:rsidRDefault="002A6373" w:rsidP="0084373C">
            <w:pPr>
              <w:jc w:val="center"/>
            </w:pPr>
            <w:r>
              <w:t>60</w:t>
            </w:r>
          </w:p>
        </w:tc>
      </w:tr>
      <w:tr w:rsidR="002A6373" w:rsidRPr="004B7027" w14:paraId="6931F795" w14:textId="77777777" w:rsidTr="002A6373">
        <w:trPr>
          <w:jc w:val="center"/>
        </w:trPr>
        <w:tc>
          <w:tcPr>
            <w:tcW w:w="1703" w:type="dxa"/>
            <w:shd w:val="clear" w:color="auto" w:fill="auto"/>
          </w:tcPr>
          <w:p w14:paraId="71C374F8" w14:textId="75AAF909" w:rsidR="002A6373" w:rsidRPr="00E330BC" w:rsidRDefault="002A6373" w:rsidP="0084373C">
            <w:pPr>
              <w:jc w:val="center"/>
            </w:pPr>
            <w:r>
              <w:t>CP length (us)</w:t>
            </w:r>
          </w:p>
        </w:tc>
        <w:tc>
          <w:tcPr>
            <w:tcW w:w="1161" w:type="dxa"/>
          </w:tcPr>
          <w:p w14:paraId="726B48AC" w14:textId="52CB7D8B" w:rsidR="002A6373" w:rsidRPr="00E330BC" w:rsidRDefault="00FD1A24" w:rsidP="0084373C">
            <w:pPr>
              <w:jc w:val="center"/>
            </w:pPr>
            <w:r>
              <w:t>50</w:t>
            </w:r>
          </w:p>
        </w:tc>
        <w:tc>
          <w:tcPr>
            <w:tcW w:w="1117" w:type="dxa"/>
          </w:tcPr>
          <w:p w14:paraId="18CFF4FC" w14:textId="0810983B" w:rsidR="002A6373" w:rsidRPr="00E330BC" w:rsidRDefault="00FD1A24" w:rsidP="0084373C">
            <w:pPr>
              <w:jc w:val="center"/>
            </w:pPr>
            <w:r>
              <w:t>100</w:t>
            </w:r>
          </w:p>
        </w:tc>
        <w:tc>
          <w:tcPr>
            <w:tcW w:w="1272" w:type="dxa"/>
          </w:tcPr>
          <w:p w14:paraId="7CF61CD1" w14:textId="17AD0E26" w:rsidR="002A6373" w:rsidRPr="00E330BC" w:rsidRDefault="00FD1A24" w:rsidP="0084373C">
            <w:pPr>
              <w:jc w:val="center"/>
            </w:pPr>
            <w:r>
              <w:t>200</w:t>
            </w:r>
          </w:p>
        </w:tc>
        <w:tc>
          <w:tcPr>
            <w:tcW w:w="1402" w:type="dxa"/>
          </w:tcPr>
          <w:p w14:paraId="08BC83C0" w14:textId="41D37387" w:rsidR="002A6373" w:rsidRPr="00E330BC" w:rsidRDefault="00FD1A24" w:rsidP="0084373C">
            <w:pPr>
              <w:jc w:val="center"/>
            </w:pPr>
            <w:r>
              <w:t>400</w:t>
            </w:r>
          </w:p>
        </w:tc>
      </w:tr>
      <w:tr w:rsidR="002A6373" w:rsidRPr="004B7027" w14:paraId="3EE7BAA6" w14:textId="77777777" w:rsidTr="002A6373">
        <w:trPr>
          <w:jc w:val="center"/>
        </w:trPr>
        <w:tc>
          <w:tcPr>
            <w:tcW w:w="1703" w:type="dxa"/>
            <w:shd w:val="clear" w:color="auto" w:fill="auto"/>
            <w:vAlign w:val="center"/>
          </w:tcPr>
          <w:p w14:paraId="3CF3F974" w14:textId="003EDCF2" w:rsidR="002A6373" w:rsidRDefault="002A6373" w:rsidP="0084373C">
            <w:pPr>
              <w:jc w:val="center"/>
            </w:pPr>
            <w:r>
              <w:t>GT length (us)</w:t>
            </w:r>
          </w:p>
        </w:tc>
        <w:tc>
          <w:tcPr>
            <w:tcW w:w="1161" w:type="dxa"/>
            <w:vAlign w:val="center"/>
          </w:tcPr>
          <w:p w14:paraId="76B5A750" w14:textId="776855D0" w:rsidR="002A6373" w:rsidRDefault="00FD1A24" w:rsidP="0084373C">
            <w:pPr>
              <w:jc w:val="center"/>
            </w:pPr>
            <w:r>
              <w:t>50</w:t>
            </w:r>
          </w:p>
        </w:tc>
        <w:tc>
          <w:tcPr>
            <w:tcW w:w="1117" w:type="dxa"/>
            <w:vAlign w:val="center"/>
          </w:tcPr>
          <w:p w14:paraId="31E08F8A" w14:textId="1BF4B00D" w:rsidR="002A6373" w:rsidRDefault="00FD1A24" w:rsidP="0084373C">
            <w:pPr>
              <w:jc w:val="center"/>
            </w:pPr>
            <w:r>
              <w:t>100</w:t>
            </w:r>
          </w:p>
        </w:tc>
        <w:tc>
          <w:tcPr>
            <w:tcW w:w="1272" w:type="dxa"/>
            <w:vAlign w:val="center"/>
          </w:tcPr>
          <w:p w14:paraId="0EEF7521" w14:textId="190DFB72" w:rsidR="002A6373" w:rsidRPr="00E330BC" w:rsidRDefault="00FD1A24" w:rsidP="0084373C">
            <w:pPr>
              <w:jc w:val="center"/>
            </w:pPr>
            <w:r>
              <w:t>200</w:t>
            </w:r>
          </w:p>
        </w:tc>
        <w:tc>
          <w:tcPr>
            <w:tcW w:w="1402" w:type="dxa"/>
            <w:vAlign w:val="center"/>
          </w:tcPr>
          <w:p w14:paraId="136D3E38" w14:textId="0E2C1570" w:rsidR="002A6373" w:rsidRDefault="00FD1A24" w:rsidP="0084373C">
            <w:pPr>
              <w:jc w:val="center"/>
            </w:pPr>
            <w:r>
              <w:t>400</w:t>
            </w:r>
          </w:p>
        </w:tc>
      </w:tr>
      <w:tr w:rsidR="002A6373" w:rsidRPr="004B7027" w14:paraId="003BFE62" w14:textId="77777777" w:rsidTr="00DE30CB">
        <w:trPr>
          <w:jc w:val="center"/>
        </w:trPr>
        <w:tc>
          <w:tcPr>
            <w:tcW w:w="6655" w:type="dxa"/>
            <w:gridSpan w:val="5"/>
            <w:shd w:val="clear" w:color="auto" w:fill="auto"/>
            <w:vAlign w:val="center"/>
          </w:tcPr>
          <w:p w14:paraId="43507241" w14:textId="7D9F4FB6" w:rsidR="002A6373" w:rsidRDefault="002A6373" w:rsidP="00757474">
            <w:pPr>
              <w:jc w:val="left"/>
            </w:pPr>
            <w:r>
              <w:t>Note: the cell sizes here only account for round-trip delay. The actual supported cell sizes should be slightly smaller than the values in the table to make</w:t>
            </w:r>
            <w:r w:rsidR="00757474">
              <w:t xml:space="preserve"> some</w:t>
            </w:r>
            <w:r>
              <w:t xml:space="preserve"> margin for DL sync errors and channel delay spread.</w:t>
            </w:r>
          </w:p>
        </w:tc>
      </w:tr>
    </w:tbl>
    <w:p w14:paraId="14086F96" w14:textId="77777777" w:rsidR="00D138FB" w:rsidRDefault="00D138FB" w:rsidP="00135EB8">
      <w:pPr>
        <w:pStyle w:val="BodyText"/>
        <w:rPr>
          <w:lang w:eastAsia="ko-KR"/>
        </w:rPr>
      </w:pPr>
    </w:p>
    <w:p w14:paraId="43567387" w14:textId="6F4F930D" w:rsidR="00135EB8" w:rsidRDefault="00184118" w:rsidP="00135EB8">
      <w:pPr>
        <w:pStyle w:val="BodyText"/>
        <w:rPr>
          <w:i/>
          <w:lang w:eastAsia="ko-KR"/>
        </w:rPr>
      </w:pPr>
      <w:r w:rsidRPr="00184118">
        <w:rPr>
          <w:i/>
          <w:lang w:eastAsia="ko-KR"/>
        </w:rPr>
        <w:t>Proposal 1</w:t>
      </w:r>
      <w:r w:rsidR="00D044BA">
        <w:rPr>
          <w:i/>
          <w:lang w:eastAsia="ko-KR"/>
        </w:rPr>
        <w:t>2</w:t>
      </w:r>
      <w:r w:rsidRPr="00184118">
        <w:rPr>
          <w:i/>
          <w:lang w:eastAsia="ko-KR"/>
        </w:rPr>
        <w:t xml:space="preserve">: Support 2~4 CP lengths for </w:t>
      </w:r>
      <w:r w:rsidR="003D0A8F">
        <w:rPr>
          <w:i/>
          <w:lang w:eastAsia="ko-KR"/>
        </w:rPr>
        <w:t>NB-</w:t>
      </w:r>
      <w:r w:rsidRPr="00184118">
        <w:rPr>
          <w:i/>
          <w:lang w:eastAsia="ko-KR"/>
        </w:rPr>
        <w:t>PRACH design in NB-IoT.</w:t>
      </w:r>
    </w:p>
    <w:p w14:paraId="10BFB080" w14:textId="77777777" w:rsidR="00662906" w:rsidRDefault="00662906" w:rsidP="00135EB8">
      <w:pPr>
        <w:pStyle w:val="BodyText"/>
        <w:rPr>
          <w:i/>
          <w:lang w:eastAsia="ko-KR"/>
        </w:rPr>
      </w:pPr>
    </w:p>
    <w:p w14:paraId="24E2D0A1" w14:textId="5B3176D8" w:rsidR="00662906" w:rsidRDefault="002C4475" w:rsidP="00662906">
      <w:pPr>
        <w:pStyle w:val="Heading2"/>
        <w:rPr>
          <w:lang w:eastAsia="ko-KR"/>
        </w:rPr>
      </w:pPr>
      <w:r>
        <w:rPr>
          <w:lang w:eastAsia="ko-KR"/>
        </w:rPr>
        <w:t>NB-</w:t>
      </w:r>
      <w:r w:rsidR="00662906">
        <w:rPr>
          <w:lang w:eastAsia="ko-KR"/>
        </w:rPr>
        <w:t xml:space="preserve">PRACH </w:t>
      </w:r>
      <w:r w:rsidR="00857659">
        <w:rPr>
          <w:lang w:eastAsia="ko-KR"/>
        </w:rPr>
        <w:t>R</w:t>
      </w:r>
      <w:r w:rsidR="00662906">
        <w:rPr>
          <w:lang w:eastAsia="ko-KR"/>
        </w:rPr>
        <w:t xml:space="preserve">esource </w:t>
      </w:r>
      <w:r w:rsidR="00857659">
        <w:rPr>
          <w:lang w:eastAsia="ko-KR"/>
        </w:rPr>
        <w:t>C</w:t>
      </w:r>
      <w:r w:rsidR="00662906">
        <w:rPr>
          <w:lang w:eastAsia="ko-KR"/>
        </w:rPr>
        <w:t>onfiguration</w:t>
      </w:r>
    </w:p>
    <w:p w14:paraId="2E30D1C7" w14:textId="58A1682E" w:rsidR="00615A64" w:rsidRDefault="00CE42C7" w:rsidP="00615A64">
      <w:r>
        <w:rPr>
          <w:lang w:val="en-US"/>
        </w:rPr>
        <w:t xml:space="preserve">The design of </w:t>
      </w:r>
      <w:r w:rsidR="002C4475">
        <w:rPr>
          <w:lang w:val="en-US"/>
        </w:rPr>
        <w:t>NB-</w:t>
      </w:r>
      <w:r>
        <w:rPr>
          <w:lang w:val="en-US"/>
        </w:rPr>
        <w:t xml:space="preserve">PRACH resource configuration can be flexible. </w:t>
      </w:r>
      <w:r w:rsidR="00615A64">
        <w:t xml:space="preserve">Note that the concurrent preamble transmissions of users in different coverage classes may lead to potential near-far problems. To mitigate this problem, the preamble transmissions of users in different coverage class can be time multiplexed (TDM) in NB-IoT. Depending on the </w:t>
      </w:r>
      <w:r w:rsidR="002C4475">
        <w:t>NB-</w:t>
      </w:r>
      <w:r w:rsidR="00615A64">
        <w:t>PRACH bandwidth</w:t>
      </w:r>
      <w:r w:rsidR="00AC0199">
        <w:t xml:space="preserve"> used</w:t>
      </w:r>
      <w:r w:rsidR="00615A64">
        <w:t xml:space="preserve">, </w:t>
      </w:r>
      <w:r w:rsidR="00B0348F">
        <w:t xml:space="preserve">frequency multiplexing (FDM) </w:t>
      </w:r>
      <w:r w:rsidR="00615A64">
        <w:t>might also be possible.</w:t>
      </w:r>
    </w:p>
    <w:p w14:paraId="4E8F72E2" w14:textId="4326996F" w:rsidR="00CE42C7" w:rsidRPr="00B756D9" w:rsidRDefault="00CE42C7" w:rsidP="00B756D9">
      <w:pPr>
        <w:pStyle w:val="BodyText"/>
        <w:rPr>
          <w:lang w:eastAsia="ko-KR"/>
        </w:rPr>
      </w:pPr>
      <w:r>
        <w:rPr>
          <w:lang w:val="en-US"/>
        </w:rPr>
        <w:fldChar w:fldCharType="begin"/>
      </w:r>
      <w:r>
        <w:rPr>
          <w:lang w:val="en-US"/>
        </w:rPr>
        <w:instrText xml:space="preserve"> REF _Ref436144917 \h </w:instrText>
      </w:r>
      <w:r>
        <w:rPr>
          <w:lang w:val="en-US"/>
        </w:rPr>
      </w:r>
      <w:r>
        <w:rPr>
          <w:lang w:val="en-US"/>
        </w:rPr>
        <w:fldChar w:fldCharType="separate"/>
      </w:r>
      <w:r w:rsidR="00A779CA">
        <w:t xml:space="preserve">Figure </w:t>
      </w:r>
      <w:r w:rsidR="00A779CA">
        <w:rPr>
          <w:noProof/>
        </w:rPr>
        <w:t>5</w:t>
      </w:r>
      <w:r>
        <w:rPr>
          <w:lang w:val="en-US"/>
        </w:rPr>
        <w:fldChar w:fldCharType="end"/>
      </w:r>
      <w:r>
        <w:rPr>
          <w:lang w:val="en-US"/>
        </w:rPr>
        <w:t xml:space="preserve"> shows </w:t>
      </w:r>
      <w:r w:rsidRPr="00FE1F13">
        <w:rPr>
          <w:lang w:val="en-US"/>
        </w:rPr>
        <w:t>an example random access resou</w:t>
      </w:r>
      <w:r>
        <w:rPr>
          <w:lang w:val="en-US"/>
        </w:rPr>
        <w:t>rce configuration</w:t>
      </w:r>
      <w:r w:rsidR="00615A64">
        <w:rPr>
          <w:lang w:val="en-US"/>
        </w:rPr>
        <w:t xml:space="preserve"> with TDM</w:t>
      </w:r>
      <w:r w:rsidRPr="00FE1F13">
        <w:rPr>
          <w:lang w:val="en-US"/>
        </w:rPr>
        <w:t xml:space="preserve">. The system can configure </w:t>
      </w:r>
      <w:r>
        <w:rPr>
          <w:lang w:val="en-US"/>
        </w:rPr>
        <w:t xml:space="preserve">more or </w:t>
      </w:r>
      <w:r w:rsidRPr="00FE1F13">
        <w:rPr>
          <w:lang w:val="en-US"/>
        </w:rPr>
        <w:t>less random acce</w:t>
      </w:r>
      <w:r>
        <w:rPr>
          <w:lang w:val="en-US"/>
        </w:rPr>
        <w:t>ss resources depending on the load</w:t>
      </w:r>
      <w:r w:rsidRPr="00FE1F13">
        <w:rPr>
          <w:lang w:val="en-US"/>
        </w:rPr>
        <w:t>.</w:t>
      </w:r>
      <w:r w:rsidR="00B756D9">
        <w:rPr>
          <w:lang w:val="en-US"/>
        </w:rPr>
        <w:t xml:space="preserve"> </w:t>
      </w:r>
      <w:r w:rsidR="00B756D9">
        <w:rPr>
          <w:lang w:eastAsia="ko-KR"/>
        </w:rPr>
        <w:t xml:space="preserve">Nevertheless, </w:t>
      </w:r>
      <w:r w:rsidR="00186D84">
        <w:rPr>
          <w:lang w:eastAsia="ko-KR"/>
        </w:rPr>
        <w:t>we should not</w:t>
      </w:r>
      <w:r w:rsidR="00B756D9">
        <w:rPr>
          <w:lang w:eastAsia="ko-KR"/>
        </w:rPr>
        <w:t xml:space="preserve"> introduce too many configurations </w:t>
      </w:r>
      <w:r w:rsidR="009779A0">
        <w:rPr>
          <w:lang w:eastAsia="ko-KR"/>
        </w:rPr>
        <w:t>that may result in</w:t>
      </w:r>
      <w:r w:rsidR="001E0970">
        <w:rPr>
          <w:lang w:eastAsia="ko-KR"/>
        </w:rPr>
        <w:t xml:space="preserve"> a high</w:t>
      </w:r>
      <w:r w:rsidR="00B756D9">
        <w:rPr>
          <w:lang w:eastAsia="ko-KR"/>
        </w:rPr>
        <w:t xml:space="preserve"> </w:t>
      </w:r>
      <w:r w:rsidR="002C4475">
        <w:rPr>
          <w:lang w:eastAsia="ko-KR"/>
        </w:rPr>
        <w:t>NB-</w:t>
      </w:r>
      <w:r w:rsidR="00B756D9">
        <w:rPr>
          <w:lang w:eastAsia="ko-KR"/>
        </w:rPr>
        <w:t xml:space="preserve">PRACH configuration signalling overhead. </w:t>
      </w:r>
    </w:p>
    <w:p w14:paraId="45F62B12" w14:textId="77777777" w:rsidR="00615A64" w:rsidRDefault="00615A64" w:rsidP="00615A64">
      <w:pPr>
        <w:jc w:val="center"/>
      </w:pPr>
      <w:r>
        <w:rPr>
          <w:noProof/>
          <w:lang w:val="en-US"/>
        </w:rPr>
        <w:drawing>
          <wp:inline distT="0" distB="0" distL="0" distR="0" wp14:anchorId="011CA811" wp14:editId="43684DF2">
            <wp:extent cx="4858247" cy="217790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4859657" cy="2178538"/>
                    </a:xfrm>
                    <a:prstGeom prst="rect">
                      <a:avLst/>
                    </a:prstGeom>
                  </pic:spPr>
                </pic:pic>
              </a:graphicData>
            </a:graphic>
          </wp:inline>
        </w:drawing>
      </w:r>
    </w:p>
    <w:p w14:paraId="0FDF35B9" w14:textId="77777777" w:rsidR="00615A64" w:rsidRDefault="00615A64" w:rsidP="00615A64">
      <w:pPr>
        <w:pStyle w:val="Caption"/>
      </w:pPr>
      <w:bookmarkStart w:id="10" w:name="_Ref436144917"/>
      <w:r>
        <w:t xml:space="preserve">Figure </w:t>
      </w:r>
      <w:r>
        <w:fldChar w:fldCharType="begin"/>
      </w:r>
      <w:r>
        <w:instrText xml:space="preserve"> SEQ Figure \* ARABIC </w:instrText>
      </w:r>
      <w:r>
        <w:fldChar w:fldCharType="separate"/>
      </w:r>
      <w:r w:rsidR="00A779CA">
        <w:rPr>
          <w:noProof/>
        </w:rPr>
        <w:t>5</w:t>
      </w:r>
      <w:r>
        <w:fldChar w:fldCharType="end"/>
      </w:r>
      <w:bookmarkEnd w:id="10"/>
      <w:r>
        <w:t>: Example PRACH resource configuration</w:t>
      </w:r>
    </w:p>
    <w:p w14:paraId="4DCF4CD3" w14:textId="776C6336" w:rsidR="00857659" w:rsidRPr="00D7289E" w:rsidRDefault="00857659" w:rsidP="00857659">
      <w:pPr>
        <w:rPr>
          <w:i/>
        </w:rPr>
      </w:pPr>
      <w:r w:rsidRPr="00D7289E">
        <w:rPr>
          <w:i/>
        </w:rPr>
        <w:lastRenderedPageBreak/>
        <w:t>Proposal</w:t>
      </w:r>
      <w:r w:rsidR="001E0970" w:rsidRPr="00D7289E">
        <w:rPr>
          <w:i/>
        </w:rPr>
        <w:t xml:space="preserve"> 1</w:t>
      </w:r>
      <w:r w:rsidR="00D044BA">
        <w:rPr>
          <w:i/>
        </w:rPr>
        <w:t>3</w:t>
      </w:r>
      <w:r w:rsidRPr="00D7289E">
        <w:rPr>
          <w:i/>
        </w:rPr>
        <w:t xml:space="preserve">: Use TDM and/or FDM to separate </w:t>
      </w:r>
      <w:r w:rsidR="002C4475">
        <w:rPr>
          <w:i/>
        </w:rPr>
        <w:t>NB-</w:t>
      </w:r>
      <w:r w:rsidRPr="00D7289E">
        <w:rPr>
          <w:i/>
        </w:rPr>
        <w:t xml:space="preserve">PRACH preamble transmissions from UEs in different coverage classes. </w:t>
      </w:r>
    </w:p>
    <w:p w14:paraId="7032C761" w14:textId="355CEEE8" w:rsidR="005B289F" w:rsidRDefault="001E0970" w:rsidP="005B289F">
      <w:pPr>
        <w:rPr>
          <w:i/>
        </w:rPr>
      </w:pPr>
      <w:r w:rsidRPr="00D7289E">
        <w:rPr>
          <w:i/>
        </w:rPr>
        <w:t>Proposal 1</w:t>
      </w:r>
      <w:r w:rsidR="00D044BA">
        <w:rPr>
          <w:i/>
        </w:rPr>
        <w:t>4</w:t>
      </w:r>
      <w:r w:rsidRPr="00D7289E">
        <w:rPr>
          <w:i/>
        </w:rPr>
        <w:t>: Introduce a</w:t>
      </w:r>
      <w:r w:rsidR="00C2030F">
        <w:rPr>
          <w:i/>
        </w:rPr>
        <w:t xml:space="preserve"> modest</w:t>
      </w:r>
      <w:r w:rsidRPr="00D7289E">
        <w:rPr>
          <w:i/>
        </w:rPr>
        <w:t xml:space="preserve"> set of </w:t>
      </w:r>
      <w:r w:rsidR="002C4475">
        <w:rPr>
          <w:i/>
        </w:rPr>
        <w:t>NB-</w:t>
      </w:r>
      <w:r w:rsidRPr="00D7289E">
        <w:rPr>
          <w:i/>
        </w:rPr>
        <w:t>PRACH resource configurations for NB-IoT</w:t>
      </w:r>
      <w:r w:rsidR="00D7289E" w:rsidRPr="00D7289E">
        <w:rPr>
          <w:i/>
        </w:rPr>
        <w:t>.</w:t>
      </w:r>
    </w:p>
    <w:p w14:paraId="21648D56" w14:textId="77777777" w:rsidR="00C841B2" w:rsidRPr="00C841B2" w:rsidRDefault="00C841B2" w:rsidP="005B289F">
      <w:pPr>
        <w:rPr>
          <w:i/>
        </w:rPr>
      </w:pPr>
    </w:p>
    <w:p w14:paraId="11ED0E91" w14:textId="1E163723" w:rsidR="00573F6F" w:rsidRDefault="002C4475" w:rsidP="00573F6F">
      <w:pPr>
        <w:pStyle w:val="Heading2"/>
      </w:pPr>
      <w:r>
        <w:t>NB-</w:t>
      </w:r>
      <w:r w:rsidR="0079102B">
        <w:t>PRACH Power Setting</w:t>
      </w:r>
    </w:p>
    <w:p w14:paraId="293FC395" w14:textId="2C574288" w:rsidR="00BA2827" w:rsidRDefault="00A13DA3" w:rsidP="004A37FB">
      <w:r>
        <w:t xml:space="preserve">The initial </w:t>
      </w:r>
      <w:r w:rsidR="002C4475">
        <w:t>NB-</w:t>
      </w:r>
      <w:r>
        <w:t>PRACH transmission power can be set based on open-loop power control. In most cases, th</w:t>
      </w:r>
      <w:r w:rsidR="00CC3A8B">
        <w:t xml:space="preserve">is is sufficient for the random </w:t>
      </w:r>
      <w:r>
        <w:t xml:space="preserve">access to be successful. However, if the first random access attempt fails, </w:t>
      </w:r>
      <w:r w:rsidR="00BA7161">
        <w:t>power ramping can be applied: T</w:t>
      </w:r>
      <w:r>
        <w:t xml:space="preserve">he </w:t>
      </w:r>
      <w:r w:rsidR="002C4475">
        <w:t>NB-</w:t>
      </w:r>
      <w:r>
        <w:t>PRACH transmission power for the next attempt is increased by a configuration step size to incre</w:t>
      </w:r>
      <w:r w:rsidR="00B02B08">
        <w:t>ase the likelihood</w:t>
      </w:r>
      <w:r>
        <w:t xml:space="preserve"> of the next attempt to be successful.</w:t>
      </w:r>
      <w:r w:rsidR="00FE3396">
        <w:t xml:space="preserve"> After a maximum number of attempts, UE may switch to a lower coverage class and restart again.</w:t>
      </w:r>
      <w:r w:rsidR="005175E0">
        <w:t xml:space="preserve"> In our view, the eMTC agreements can be largely reused here</w:t>
      </w:r>
      <w:r w:rsidR="00D66A83">
        <w:t xml:space="preserve"> for NB-IoT</w:t>
      </w:r>
      <w:r w:rsidR="005175E0">
        <w:t>.</w:t>
      </w:r>
      <w:r w:rsidR="00FE3396">
        <w:t xml:space="preserve"> </w:t>
      </w:r>
    </w:p>
    <w:p w14:paraId="1F7B34A0" w14:textId="77777777" w:rsidR="00BA2827" w:rsidRDefault="00BA2827" w:rsidP="004A37FB"/>
    <w:p w14:paraId="69C49D30" w14:textId="2064DC1A" w:rsidR="004A37FB" w:rsidRPr="00474666" w:rsidRDefault="004A37FB" w:rsidP="004A37FB">
      <w:pPr>
        <w:rPr>
          <w:i/>
        </w:rPr>
      </w:pPr>
      <w:r w:rsidRPr="00474666">
        <w:rPr>
          <w:i/>
        </w:rPr>
        <w:t>Proposal</w:t>
      </w:r>
      <w:r w:rsidR="00060CD9" w:rsidRPr="00474666">
        <w:rPr>
          <w:i/>
        </w:rPr>
        <w:t xml:space="preserve"> 1</w:t>
      </w:r>
      <w:r w:rsidR="00D044BA">
        <w:rPr>
          <w:i/>
        </w:rPr>
        <w:t>5</w:t>
      </w:r>
      <w:r w:rsidRPr="00474666">
        <w:rPr>
          <w:i/>
        </w:rPr>
        <w:t xml:space="preserve">: Power ramping should be used by at least </w:t>
      </w:r>
      <w:r w:rsidR="0094520F" w:rsidRPr="00474666">
        <w:rPr>
          <w:i/>
        </w:rPr>
        <w:t xml:space="preserve">the </w:t>
      </w:r>
      <w:r w:rsidRPr="00474666">
        <w:rPr>
          <w:i/>
        </w:rPr>
        <w:t>users in the basic coverage class.</w:t>
      </w:r>
    </w:p>
    <w:p w14:paraId="48D2CE9E" w14:textId="70220661" w:rsidR="001A7B67" w:rsidRPr="00474666" w:rsidRDefault="001A7B67" w:rsidP="004A37FB">
      <w:pPr>
        <w:rPr>
          <w:i/>
        </w:rPr>
      </w:pPr>
      <w:r w:rsidRPr="00474666">
        <w:rPr>
          <w:i/>
        </w:rPr>
        <w:t>Proposal</w:t>
      </w:r>
      <w:r w:rsidR="00060CD9" w:rsidRPr="00474666">
        <w:rPr>
          <w:i/>
        </w:rPr>
        <w:t xml:space="preserve"> 1</w:t>
      </w:r>
      <w:r w:rsidR="00D044BA">
        <w:rPr>
          <w:i/>
        </w:rPr>
        <w:t>6</w:t>
      </w:r>
      <w:r w:rsidRPr="00474666">
        <w:rPr>
          <w:i/>
        </w:rPr>
        <w:t>: Whether power ramping is necessary for users in enhanced coverage needs further study.</w:t>
      </w:r>
    </w:p>
    <w:p w14:paraId="55C5D0C6" w14:textId="2A7CFF8C" w:rsidR="005175E0" w:rsidRPr="00474666" w:rsidRDefault="005175E0" w:rsidP="004A37FB">
      <w:pPr>
        <w:rPr>
          <w:i/>
        </w:rPr>
      </w:pPr>
      <w:r w:rsidRPr="00474666">
        <w:rPr>
          <w:i/>
        </w:rPr>
        <w:t>Proposal 1</w:t>
      </w:r>
      <w:r w:rsidR="00D044BA">
        <w:rPr>
          <w:i/>
        </w:rPr>
        <w:t>7</w:t>
      </w:r>
      <w:r w:rsidRPr="00474666">
        <w:rPr>
          <w:i/>
        </w:rPr>
        <w:t>: Reuse eMTC agreements on PRACH power setting for NB-IoT as appropriate.</w:t>
      </w:r>
    </w:p>
    <w:p w14:paraId="69604CDC" w14:textId="7A72F937" w:rsidR="00055FB3" w:rsidRPr="00E330BC" w:rsidRDefault="00055FB3" w:rsidP="00055FB3">
      <w:pPr>
        <w:pStyle w:val="Heading1"/>
      </w:pPr>
      <w:r>
        <w:t>Conclusions</w:t>
      </w:r>
    </w:p>
    <w:p w14:paraId="1C6EB1F9" w14:textId="65455397" w:rsidR="006D203B" w:rsidRPr="00C27207" w:rsidRDefault="00511F61" w:rsidP="00055FB3">
      <w:pPr>
        <w:pStyle w:val="BodyText"/>
      </w:pPr>
      <w:r>
        <w:t xml:space="preserve">In this contribution, we have discussed the various design considerations that should be taken into account for Zadoff-Chu sequences based NB-IoT </w:t>
      </w:r>
      <w:r w:rsidR="00214309">
        <w:t>NB-</w:t>
      </w:r>
      <w:r>
        <w:t>PRACH design.</w:t>
      </w:r>
    </w:p>
    <w:p w14:paraId="1B9648E8" w14:textId="2FA4A332" w:rsidR="00511F61" w:rsidRPr="004857BA" w:rsidRDefault="00511F61" w:rsidP="00511F61">
      <w:pPr>
        <w:pStyle w:val="BodyText"/>
        <w:rPr>
          <w:i/>
          <w:lang w:eastAsia="ko-KR"/>
        </w:rPr>
      </w:pPr>
      <w:r w:rsidRPr="004857BA">
        <w:rPr>
          <w:i/>
          <w:lang w:eastAsia="ko-KR"/>
        </w:rPr>
        <w:t>Proposal 1: Use 80 kHz bandwidth as a benchmark design</w:t>
      </w:r>
      <w:r>
        <w:rPr>
          <w:i/>
          <w:lang w:eastAsia="ko-KR"/>
        </w:rPr>
        <w:t xml:space="preserve"> choice</w:t>
      </w:r>
      <w:r w:rsidRPr="004857BA">
        <w:rPr>
          <w:i/>
          <w:lang w:eastAsia="ko-KR"/>
        </w:rPr>
        <w:t xml:space="preserve"> for </w:t>
      </w:r>
      <w:r w:rsidRPr="004857BA">
        <w:rPr>
          <w:i/>
        </w:rPr>
        <w:t xml:space="preserve">Zadoff-Chu sequences based </w:t>
      </w:r>
      <w:r w:rsidR="00214309">
        <w:rPr>
          <w:i/>
        </w:rPr>
        <w:t>NB-</w:t>
      </w:r>
      <w:r w:rsidRPr="004857BA">
        <w:rPr>
          <w:i/>
        </w:rPr>
        <w:t>PRACH</w:t>
      </w:r>
      <w:r>
        <w:rPr>
          <w:i/>
        </w:rPr>
        <w:t xml:space="preserve"> in NB-IoT</w:t>
      </w:r>
      <w:r w:rsidRPr="004857BA">
        <w:rPr>
          <w:i/>
          <w:lang w:eastAsia="ko-KR"/>
        </w:rPr>
        <w:t>.</w:t>
      </w:r>
    </w:p>
    <w:p w14:paraId="5DB3EA91" w14:textId="4263B822" w:rsidR="00511F61" w:rsidRDefault="00511F61" w:rsidP="00511F61">
      <w:pPr>
        <w:pStyle w:val="BodyText"/>
        <w:rPr>
          <w:i/>
          <w:lang w:eastAsia="ko-KR"/>
        </w:rPr>
      </w:pPr>
      <w:r w:rsidRPr="004857BA">
        <w:rPr>
          <w:i/>
          <w:lang w:eastAsia="ko-KR"/>
        </w:rPr>
        <w:t xml:space="preserve">Proposal 2: If less than 80 kHz </w:t>
      </w:r>
      <w:r w:rsidR="00214309">
        <w:rPr>
          <w:i/>
        </w:rPr>
        <w:t>NB-</w:t>
      </w:r>
      <w:r w:rsidRPr="004857BA">
        <w:rPr>
          <w:i/>
          <w:lang w:eastAsia="ko-KR"/>
        </w:rPr>
        <w:t>PRACH bandwidth is used, the impact of the degraded timing estimation accuracy on PUSCH performance should be evaluated.</w:t>
      </w:r>
    </w:p>
    <w:p w14:paraId="5F223E06" w14:textId="069BC267" w:rsidR="00511F61" w:rsidRPr="004857BA" w:rsidRDefault="00511F61" w:rsidP="00511F61">
      <w:pPr>
        <w:pStyle w:val="BodyText"/>
        <w:rPr>
          <w:i/>
          <w:lang w:eastAsia="ko-KR"/>
        </w:rPr>
      </w:pPr>
      <w:r>
        <w:rPr>
          <w:i/>
          <w:lang w:eastAsia="ko-KR"/>
        </w:rPr>
        <w:t xml:space="preserve">Proposal </w:t>
      </w:r>
      <w:r w:rsidR="0087092A">
        <w:rPr>
          <w:i/>
          <w:lang w:eastAsia="ko-KR"/>
        </w:rPr>
        <w:t>3</w:t>
      </w:r>
      <w:r>
        <w:rPr>
          <w:i/>
          <w:lang w:eastAsia="ko-KR"/>
        </w:rPr>
        <w:t xml:space="preserve">: For FDD deployment of NB-IoT, use 312.5 </w:t>
      </w:r>
      <w:r w:rsidRPr="004857BA">
        <w:rPr>
          <w:i/>
          <w:lang w:eastAsia="ko-KR"/>
        </w:rPr>
        <w:t>Hz</w:t>
      </w:r>
      <w:r>
        <w:rPr>
          <w:i/>
          <w:lang w:eastAsia="ko-KR"/>
        </w:rPr>
        <w:t xml:space="preserve"> subcarrier</w:t>
      </w:r>
      <w:r w:rsidRPr="004857BA">
        <w:rPr>
          <w:i/>
          <w:lang w:eastAsia="ko-KR"/>
        </w:rPr>
        <w:t xml:space="preserve"> bandwidth as a benchmark design</w:t>
      </w:r>
      <w:r>
        <w:rPr>
          <w:i/>
          <w:lang w:eastAsia="ko-KR"/>
        </w:rPr>
        <w:t xml:space="preserve"> choice</w:t>
      </w:r>
      <w:r w:rsidRPr="004857BA">
        <w:rPr>
          <w:i/>
          <w:lang w:eastAsia="ko-KR"/>
        </w:rPr>
        <w:t xml:space="preserve"> for </w:t>
      </w:r>
      <w:r>
        <w:rPr>
          <w:i/>
        </w:rPr>
        <w:t xml:space="preserve">Zadoff-Chu sequences based </w:t>
      </w:r>
      <w:r w:rsidR="00214309">
        <w:rPr>
          <w:i/>
        </w:rPr>
        <w:t>NB-</w:t>
      </w:r>
      <w:r>
        <w:rPr>
          <w:i/>
        </w:rPr>
        <w:t>PRACH</w:t>
      </w:r>
      <w:r w:rsidRPr="004857BA">
        <w:rPr>
          <w:i/>
          <w:lang w:eastAsia="ko-KR"/>
        </w:rPr>
        <w:t>.</w:t>
      </w:r>
    </w:p>
    <w:p w14:paraId="3FB2432C" w14:textId="207D98ED" w:rsidR="00511F61" w:rsidRDefault="00511F61" w:rsidP="00511F61">
      <w:pPr>
        <w:pStyle w:val="BodyText"/>
        <w:rPr>
          <w:i/>
          <w:lang w:eastAsia="ko-KR"/>
        </w:rPr>
      </w:pPr>
      <w:r w:rsidRPr="004857BA">
        <w:rPr>
          <w:i/>
          <w:lang w:eastAsia="ko-KR"/>
        </w:rPr>
        <w:t xml:space="preserve">Proposal </w:t>
      </w:r>
      <w:r w:rsidR="0087092A">
        <w:rPr>
          <w:i/>
          <w:lang w:eastAsia="ko-KR"/>
        </w:rPr>
        <w:t>4</w:t>
      </w:r>
      <w:r w:rsidRPr="004857BA">
        <w:rPr>
          <w:i/>
          <w:lang w:eastAsia="ko-KR"/>
        </w:rPr>
        <w:t xml:space="preserve">: </w:t>
      </w:r>
      <w:r>
        <w:rPr>
          <w:i/>
          <w:lang w:eastAsia="ko-KR"/>
        </w:rPr>
        <w:t>For TDD deployment of NB-IoT, use 1.25 k</w:t>
      </w:r>
      <w:r w:rsidRPr="004857BA">
        <w:rPr>
          <w:i/>
          <w:lang w:eastAsia="ko-KR"/>
        </w:rPr>
        <w:t>Hz</w:t>
      </w:r>
      <w:r>
        <w:rPr>
          <w:i/>
          <w:lang w:eastAsia="ko-KR"/>
        </w:rPr>
        <w:t xml:space="preserve"> subcarrier</w:t>
      </w:r>
      <w:r w:rsidRPr="004857BA">
        <w:rPr>
          <w:i/>
          <w:lang w:eastAsia="ko-KR"/>
        </w:rPr>
        <w:t xml:space="preserve"> bandwidth as a benchmark design</w:t>
      </w:r>
      <w:r>
        <w:rPr>
          <w:i/>
          <w:lang w:eastAsia="ko-KR"/>
        </w:rPr>
        <w:t xml:space="preserve"> choice</w:t>
      </w:r>
      <w:r w:rsidRPr="004857BA">
        <w:rPr>
          <w:i/>
          <w:lang w:eastAsia="ko-KR"/>
        </w:rPr>
        <w:t xml:space="preserve"> for </w:t>
      </w:r>
      <w:r w:rsidRPr="004857BA">
        <w:rPr>
          <w:i/>
        </w:rPr>
        <w:t xml:space="preserve">Zadoff-Chu sequences based </w:t>
      </w:r>
      <w:r w:rsidR="00214309">
        <w:rPr>
          <w:i/>
        </w:rPr>
        <w:t>NB-</w:t>
      </w:r>
      <w:r w:rsidRPr="004857BA">
        <w:rPr>
          <w:i/>
        </w:rPr>
        <w:t>PRACH</w:t>
      </w:r>
      <w:r w:rsidRPr="004857BA">
        <w:rPr>
          <w:i/>
          <w:lang w:eastAsia="ko-KR"/>
        </w:rPr>
        <w:t>.</w:t>
      </w:r>
    </w:p>
    <w:p w14:paraId="04EAF1FE" w14:textId="5FD850A4" w:rsidR="00276553" w:rsidRDefault="00276553" w:rsidP="00511F61">
      <w:pPr>
        <w:pStyle w:val="BodyText"/>
        <w:rPr>
          <w:i/>
          <w:lang w:eastAsia="ko-KR"/>
        </w:rPr>
      </w:pPr>
      <w:r>
        <w:rPr>
          <w:i/>
          <w:lang w:eastAsia="ko-KR"/>
        </w:rPr>
        <w:t xml:space="preserve">Proposal </w:t>
      </w:r>
      <w:r w:rsidR="00D044BA">
        <w:rPr>
          <w:i/>
          <w:lang w:eastAsia="ko-KR"/>
        </w:rPr>
        <w:t>5</w:t>
      </w:r>
      <w:r>
        <w:rPr>
          <w:i/>
          <w:lang w:eastAsia="ko-KR"/>
        </w:rPr>
        <w:t>: For TDD deployment of NB-IoT, consider larger than 80 kHz PRACH bandwidth if the length of Zadoff-Chu sequences under 80 kHz bandwidth is not long enough to handle near-far issues</w:t>
      </w:r>
      <w:r w:rsidRPr="004857BA">
        <w:rPr>
          <w:i/>
          <w:lang w:eastAsia="ko-KR"/>
        </w:rPr>
        <w:t>.</w:t>
      </w:r>
    </w:p>
    <w:p w14:paraId="2AE64643" w14:textId="2A235F89" w:rsidR="00511F61" w:rsidRDefault="00511F61" w:rsidP="00511F61">
      <w:pPr>
        <w:pStyle w:val="BodyText"/>
        <w:rPr>
          <w:i/>
          <w:lang w:eastAsia="ko-KR"/>
        </w:rPr>
      </w:pPr>
      <w:r>
        <w:rPr>
          <w:i/>
          <w:lang w:eastAsia="ko-KR"/>
        </w:rPr>
        <w:t xml:space="preserve">Proposal </w:t>
      </w:r>
      <w:r w:rsidR="00D044BA">
        <w:rPr>
          <w:i/>
          <w:lang w:eastAsia="ko-KR"/>
        </w:rPr>
        <w:t>6</w:t>
      </w:r>
      <w:r>
        <w:rPr>
          <w:i/>
          <w:lang w:eastAsia="ko-KR"/>
        </w:rPr>
        <w:t>: For both FDD and TDD, the set of repetition numbers should be specified based on the targeted coverage classes.</w:t>
      </w:r>
    </w:p>
    <w:p w14:paraId="05B0F59B" w14:textId="7C9BFCF9" w:rsidR="0087092A" w:rsidRDefault="00511F61" w:rsidP="0087092A">
      <w:pPr>
        <w:rPr>
          <w:i/>
        </w:rPr>
      </w:pPr>
      <w:r w:rsidRPr="00AF3225">
        <w:rPr>
          <w:i/>
        </w:rPr>
        <w:t xml:space="preserve">Proposal </w:t>
      </w:r>
      <w:r w:rsidR="00D044BA">
        <w:rPr>
          <w:i/>
        </w:rPr>
        <w:t>7</w:t>
      </w:r>
      <w:r w:rsidRPr="00AF3225">
        <w:rPr>
          <w:i/>
        </w:rPr>
        <w:t>: Use no more than 64 preambles</w:t>
      </w:r>
      <w:r>
        <w:rPr>
          <w:i/>
        </w:rPr>
        <w:t xml:space="preserve"> per coverage class</w:t>
      </w:r>
      <w:r w:rsidRPr="00AF3225">
        <w:rPr>
          <w:i/>
        </w:rPr>
        <w:t xml:space="preserve"> for NB-IoT </w:t>
      </w:r>
      <w:r w:rsidR="00214309">
        <w:rPr>
          <w:i/>
        </w:rPr>
        <w:t>NB-</w:t>
      </w:r>
      <w:r w:rsidRPr="00AF3225">
        <w:rPr>
          <w:i/>
        </w:rPr>
        <w:t>PRACH.</w:t>
      </w:r>
    </w:p>
    <w:p w14:paraId="1FD98E18" w14:textId="7698BF29" w:rsidR="00511F61" w:rsidRDefault="00511F61" w:rsidP="0087092A">
      <w:pPr>
        <w:rPr>
          <w:i/>
        </w:rPr>
      </w:pPr>
      <w:r w:rsidRPr="00490EB5">
        <w:rPr>
          <w:i/>
        </w:rPr>
        <w:t xml:space="preserve">Proposal </w:t>
      </w:r>
      <w:r w:rsidR="00D044BA">
        <w:rPr>
          <w:i/>
        </w:rPr>
        <w:t>8</w:t>
      </w:r>
      <w:r w:rsidRPr="00490EB5">
        <w:rPr>
          <w:i/>
        </w:rPr>
        <w:t xml:space="preserve">: The exact number of preambles supported for NB-IoT should be decided. </w:t>
      </w:r>
    </w:p>
    <w:p w14:paraId="6507D9D1" w14:textId="2AB66CCD" w:rsidR="00511F61" w:rsidRPr="008E1BEB" w:rsidRDefault="00511F61" w:rsidP="00511F61">
      <w:pPr>
        <w:rPr>
          <w:i/>
        </w:rPr>
      </w:pPr>
      <w:r w:rsidRPr="008E1BEB">
        <w:rPr>
          <w:i/>
        </w:rPr>
        <w:t xml:space="preserve">Proposal </w:t>
      </w:r>
      <w:r w:rsidR="00D044BA">
        <w:rPr>
          <w:i/>
        </w:rPr>
        <w:t>9</w:t>
      </w:r>
      <w:r w:rsidRPr="008E1BEB">
        <w:rPr>
          <w:i/>
        </w:rPr>
        <w:t xml:space="preserve">: Use </w:t>
      </w:r>
      <w:r>
        <w:rPr>
          <w:i/>
        </w:rPr>
        <w:t>cubic metric to select preamble sequences for NB-IoT</w:t>
      </w:r>
      <w:r w:rsidRPr="008E1BEB">
        <w:rPr>
          <w:i/>
        </w:rPr>
        <w:t>.</w:t>
      </w:r>
    </w:p>
    <w:p w14:paraId="793C027C" w14:textId="3CCD13EA" w:rsidR="00511F61" w:rsidRPr="008E1BEB" w:rsidRDefault="00511F61" w:rsidP="00511F61">
      <w:pPr>
        <w:rPr>
          <w:i/>
        </w:rPr>
      </w:pPr>
      <w:r w:rsidRPr="008E1BEB">
        <w:rPr>
          <w:i/>
        </w:rPr>
        <w:t xml:space="preserve">Proposal </w:t>
      </w:r>
      <w:r w:rsidR="00D044BA">
        <w:rPr>
          <w:i/>
        </w:rPr>
        <w:t>10</w:t>
      </w:r>
      <w:r w:rsidRPr="008E1BEB">
        <w:rPr>
          <w:i/>
        </w:rPr>
        <w:t xml:space="preserve">: The </w:t>
      </w:r>
      <w:r>
        <w:rPr>
          <w:i/>
        </w:rPr>
        <w:t>cubic metric</w:t>
      </w:r>
      <w:r w:rsidRPr="008E1BEB">
        <w:rPr>
          <w:i/>
        </w:rPr>
        <w:t xml:space="preserve"> threshold used to select preambles should to be decided.</w:t>
      </w:r>
    </w:p>
    <w:p w14:paraId="268C077C" w14:textId="68BB4ABE" w:rsidR="00511F61" w:rsidRDefault="00511F61" w:rsidP="0087092A">
      <w:pPr>
        <w:rPr>
          <w:i/>
        </w:rPr>
      </w:pPr>
      <w:r w:rsidRPr="008E1BEB">
        <w:rPr>
          <w:i/>
        </w:rPr>
        <w:t>Proposal 1</w:t>
      </w:r>
      <w:r w:rsidR="00D044BA">
        <w:rPr>
          <w:i/>
        </w:rPr>
        <w:t>1</w:t>
      </w:r>
      <w:r w:rsidRPr="008E1BEB">
        <w:rPr>
          <w:i/>
        </w:rPr>
        <w:t>: The set of preambles used</w:t>
      </w:r>
      <w:r>
        <w:rPr>
          <w:i/>
        </w:rPr>
        <w:t xml:space="preserve"> for NB-IoT</w:t>
      </w:r>
      <w:r w:rsidRPr="008E1BEB">
        <w:rPr>
          <w:i/>
        </w:rPr>
        <w:t xml:space="preserve"> should be specified.</w:t>
      </w:r>
    </w:p>
    <w:p w14:paraId="1492B39E" w14:textId="57D1517B" w:rsidR="00511F61" w:rsidRDefault="00511F61" w:rsidP="00511F61">
      <w:pPr>
        <w:pStyle w:val="BodyText"/>
        <w:rPr>
          <w:i/>
          <w:lang w:eastAsia="ko-KR"/>
        </w:rPr>
      </w:pPr>
      <w:r w:rsidRPr="00184118">
        <w:rPr>
          <w:i/>
          <w:lang w:eastAsia="ko-KR"/>
        </w:rPr>
        <w:t>Proposal 1</w:t>
      </w:r>
      <w:r w:rsidR="00D044BA">
        <w:rPr>
          <w:i/>
          <w:lang w:eastAsia="ko-KR"/>
        </w:rPr>
        <w:t>2</w:t>
      </w:r>
      <w:r w:rsidRPr="00184118">
        <w:rPr>
          <w:i/>
          <w:lang w:eastAsia="ko-KR"/>
        </w:rPr>
        <w:t xml:space="preserve">: Support 2~4 CP lengths for </w:t>
      </w:r>
      <w:r w:rsidR="00214309">
        <w:rPr>
          <w:i/>
        </w:rPr>
        <w:t>NB-</w:t>
      </w:r>
      <w:r w:rsidRPr="00184118">
        <w:rPr>
          <w:i/>
          <w:lang w:eastAsia="ko-KR"/>
        </w:rPr>
        <w:t>PRACH design in NB-IoT.</w:t>
      </w:r>
    </w:p>
    <w:p w14:paraId="3B85D087" w14:textId="09C5F424" w:rsidR="00511F61" w:rsidRPr="00D7289E" w:rsidRDefault="00511F61" w:rsidP="00511F61">
      <w:pPr>
        <w:rPr>
          <w:i/>
        </w:rPr>
      </w:pPr>
      <w:r w:rsidRPr="00D7289E">
        <w:rPr>
          <w:i/>
        </w:rPr>
        <w:t>Proposal 1</w:t>
      </w:r>
      <w:r w:rsidR="00D044BA">
        <w:rPr>
          <w:i/>
        </w:rPr>
        <w:t>3</w:t>
      </w:r>
      <w:r w:rsidRPr="00D7289E">
        <w:rPr>
          <w:i/>
        </w:rPr>
        <w:t xml:space="preserve">: Use TDM and/or FDM to separate </w:t>
      </w:r>
      <w:r w:rsidR="00214309">
        <w:rPr>
          <w:i/>
        </w:rPr>
        <w:t>NB-</w:t>
      </w:r>
      <w:r w:rsidRPr="00D7289E">
        <w:rPr>
          <w:i/>
        </w:rPr>
        <w:t xml:space="preserve">PRACH preamble transmissions from UEs in different coverage classes. </w:t>
      </w:r>
    </w:p>
    <w:p w14:paraId="161D0713" w14:textId="006A8784" w:rsidR="00511F61" w:rsidRDefault="00511F61" w:rsidP="0087092A">
      <w:pPr>
        <w:rPr>
          <w:i/>
        </w:rPr>
      </w:pPr>
      <w:r w:rsidRPr="00D7289E">
        <w:rPr>
          <w:i/>
        </w:rPr>
        <w:t>Proposal 1</w:t>
      </w:r>
      <w:r w:rsidR="00D044BA">
        <w:rPr>
          <w:i/>
        </w:rPr>
        <w:t>4</w:t>
      </w:r>
      <w:r w:rsidRPr="00D7289E">
        <w:rPr>
          <w:i/>
        </w:rPr>
        <w:t>: Introduce a</w:t>
      </w:r>
      <w:r>
        <w:rPr>
          <w:i/>
        </w:rPr>
        <w:t xml:space="preserve"> modest</w:t>
      </w:r>
      <w:r w:rsidRPr="00D7289E">
        <w:rPr>
          <w:i/>
        </w:rPr>
        <w:t xml:space="preserve"> set of </w:t>
      </w:r>
      <w:r w:rsidR="00214309">
        <w:rPr>
          <w:i/>
        </w:rPr>
        <w:t>NB-</w:t>
      </w:r>
      <w:r w:rsidRPr="00D7289E">
        <w:rPr>
          <w:i/>
        </w:rPr>
        <w:t>PRACH resource configurations for NB-IoT.</w:t>
      </w:r>
    </w:p>
    <w:p w14:paraId="4307B877" w14:textId="7C18E902" w:rsidR="00511F61" w:rsidRPr="00474666" w:rsidRDefault="00511F61" w:rsidP="00511F61">
      <w:pPr>
        <w:rPr>
          <w:i/>
        </w:rPr>
      </w:pPr>
      <w:r w:rsidRPr="00474666">
        <w:rPr>
          <w:i/>
        </w:rPr>
        <w:t>Proposal 1</w:t>
      </w:r>
      <w:r w:rsidR="00D044BA">
        <w:rPr>
          <w:i/>
        </w:rPr>
        <w:t>5</w:t>
      </w:r>
      <w:r w:rsidRPr="00474666">
        <w:rPr>
          <w:i/>
        </w:rPr>
        <w:t>: Power ramping should be used by at least the users in the basic coverage class.</w:t>
      </w:r>
    </w:p>
    <w:p w14:paraId="1A3C9370" w14:textId="11D72510" w:rsidR="00511F61" w:rsidRPr="00474666" w:rsidRDefault="00511F61" w:rsidP="00511F61">
      <w:pPr>
        <w:rPr>
          <w:i/>
        </w:rPr>
      </w:pPr>
      <w:r w:rsidRPr="00474666">
        <w:rPr>
          <w:i/>
        </w:rPr>
        <w:t>Proposal 1</w:t>
      </w:r>
      <w:r w:rsidR="00D044BA">
        <w:rPr>
          <w:i/>
        </w:rPr>
        <w:t>6</w:t>
      </w:r>
      <w:r w:rsidRPr="00474666">
        <w:rPr>
          <w:i/>
        </w:rPr>
        <w:t>: Whether power ramping is necessary for users in enhanced coverage needs further study.</w:t>
      </w:r>
    </w:p>
    <w:p w14:paraId="43DD6622" w14:textId="1F92B58D" w:rsidR="00511F61" w:rsidRPr="00511F61" w:rsidRDefault="00511F61" w:rsidP="0087092A">
      <w:pPr>
        <w:rPr>
          <w:i/>
        </w:rPr>
      </w:pPr>
      <w:r w:rsidRPr="00474666">
        <w:rPr>
          <w:i/>
        </w:rPr>
        <w:t>Proposal 1</w:t>
      </w:r>
      <w:r w:rsidR="00D044BA">
        <w:rPr>
          <w:i/>
        </w:rPr>
        <w:t>7</w:t>
      </w:r>
      <w:r w:rsidRPr="00474666">
        <w:rPr>
          <w:i/>
        </w:rPr>
        <w:t>: Reuse eMTC agreements on PRACH power setting for NB-IoT as appropriate.</w:t>
      </w:r>
    </w:p>
    <w:p w14:paraId="607185F1" w14:textId="411A40B9" w:rsidR="00055FB3" w:rsidRPr="00055FB3" w:rsidRDefault="00525201" w:rsidP="00990218">
      <w:pPr>
        <w:pStyle w:val="Heading1"/>
        <w:numPr>
          <w:ilvl w:val="0"/>
          <w:numId w:val="3"/>
        </w:numPr>
        <w:rPr>
          <w:lang w:val="en-US"/>
        </w:rPr>
      </w:pPr>
      <w:r w:rsidRPr="00FE1F13">
        <w:rPr>
          <w:lang w:val="en-US"/>
        </w:rPr>
        <w:lastRenderedPageBreak/>
        <w:t>References</w:t>
      </w:r>
    </w:p>
    <w:p w14:paraId="61FF528C" w14:textId="5997D309" w:rsidR="00BD48C2" w:rsidRDefault="00594E36"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1" w:name="_Ref433894019"/>
      <w:bookmarkStart w:id="12" w:name="_Ref430944728"/>
      <w:r>
        <w:rPr>
          <w:lang w:val="en-US"/>
        </w:rPr>
        <w:t>R</w:t>
      </w:r>
      <w:r w:rsidR="00F5137F">
        <w:t>P-151621, “New Work Item: Narrow</w:t>
      </w:r>
      <w:r w:rsidR="00D35EDD">
        <w:t>b</w:t>
      </w:r>
      <w:r w:rsidR="00F5137F">
        <w:t>and I</w:t>
      </w:r>
      <w:r w:rsidR="008A5B24">
        <w:t>o</w:t>
      </w:r>
      <w:r w:rsidR="00F5137F">
        <w:t>T (NB-I</w:t>
      </w:r>
      <w:r w:rsidR="00D35EDD">
        <w:t>o</w:t>
      </w:r>
      <w:r w:rsidR="00F5137F">
        <w:t>T),” source Qualcomm Inc., RAN #69.</w:t>
      </w:r>
      <w:bookmarkEnd w:id="11"/>
    </w:p>
    <w:p w14:paraId="08567AD8" w14:textId="58EA79C0" w:rsidR="00741459" w:rsidRDefault="00D35EDD" w:rsidP="00990218">
      <w:pPr>
        <w:pStyle w:val="Reference"/>
        <w:numPr>
          <w:ilvl w:val="0"/>
          <w:numId w:val="1"/>
        </w:numPr>
        <w:overflowPunct/>
        <w:autoSpaceDE/>
        <w:autoSpaceDN/>
        <w:adjustRightInd/>
        <w:spacing w:after="200" w:line="276" w:lineRule="auto"/>
        <w:jc w:val="left"/>
        <w:textAlignment w:val="auto"/>
      </w:pPr>
      <w:bookmarkStart w:id="13" w:name="_Ref436223503"/>
      <w:r>
        <w:t>RP-152284</w:t>
      </w:r>
      <w:r w:rsidR="00741459">
        <w:t>, “</w:t>
      </w:r>
      <w:r>
        <w:t>New Work Item: Narrowband I</w:t>
      </w:r>
      <w:r w:rsidR="008A5B24">
        <w:t>o</w:t>
      </w:r>
      <w:r>
        <w:t>T (NB-IoT),” sources Huawei and HiSilicon, RAN #70</w:t>
      </w:r>
      <w:r w:rsidR="00741459">
        <w:t>.</w:t>
      </w:r>
      <w:bookmarkEnd w:id="13"/>
    </w:p>
    <w:p w14:paraId="65320058" w14:textId="392AB580" w:rsidR="001B32BE" w:rsidRDefault="001B32BE" w:rsidP="00990218">
      <w:pPr>
        <w:pStyle w:val="Reference"/>
        <w:numPr>
          <w:ilvl w:val="0"/>
          <w:numId w:val="1"/>
        </w:numPr>
        <w:overflowPunct/>
        <w:autoSpaceDE/>
        <w:autoSpaceDN/>
        <w:adjustRightInd/>
        <w:spacing w:after="200" w:line="276" w:lineRule="auto"/>
        <w:jc w:val="left"/>
        <w:textAlignment w:val="auto"/>
      </w:pPr>
      <w:bookmarkStart w:id="14" w:name="_Ref436223730"/>
      <w:r>
        <w:t>R1-157424, “</w:t>
      </w:r>
      <w:r w:rsidRPr="001B32BE">
        <w:t xml:space="preserve">NB-IoT - Random </w:t>
      </w:r>
      <w:r w:rsidR="0070296D">
        <w:t>Access D</w:t>
      </w:r>
      <w:r w:rsidRPr="001B32BE">
        <w:t>esign</w:t>
      </w:r>
      <w:r>
        <w:t>,” source Ericsson, RAN1 #83.</w:t>
      </w:r>
      <w:bookmarkEnd w:id="14"/>
    </w:p>
    <w:p w14:paraId="19EF1E56" w14:textId="02BB4E92" w:rsidR="00A430A8" w:rsidRDefault="001562B9" w:rsidP="00990218">
      <w:pPr>
        <w:pStyle w:val="Reference"/>
        <w:numPr>
          <w:ilvl w:val="0"/>
          <w:numId w:val="1"/>
        </w:numPr>
        <w:overflowPunct/>
        <w:autoSpaceDE/>
        <w:autoSpaceDN/>
        <w:adjustRightInd/>
        <w:spacing w:after="200" w:line="276" w:lineRule="auto"/>
        <w:jc w:val="left"/>
        <w:textAlignment w:val="auto"/>
      </w:pPr>
      <w:bookmarkStart w:id="15" w:name="_Ref436224860"/>
      <w:r>
        <w:t>R1-157388</w:t>
      </w:r>
      <w:r w:rsidR="00A430A8">
        <w:t>, “</w:t>
      </w:r>
      <w:r w:rsidR="00A430A8" w:rsidRPr="00A430A8">
        <w:t>N</w:t>
      </w:r>
      <w:r w:rsidR="00A430A8">
        <w:t>B-</w:t>
      </w:r>
      <w:r w:rsidR="00A430A8" w:rsidRPr="00A430A8">
        <w:t>IoT – Random Access Evaluation in Standalone Deployment</w:t>
      </w:r>
      <w:r w:rsidR="00A430A8">
        <w:t>,” source Ericsson, RAN1 #83.</w:t>
      </w:r>
      <w:bookmarkEnd w:id="15"/>
    </w:p>
    <w:p w14:paraId="54BF1BBD" w14:textId="2C608637" w:rsidR="00A430A8" w:rsidRDefault="00C63025" w:rsidP="00990218">
      <w:pPr>
        <w:pStyle w:val="Reference"/>
        <w:numPr>
          <w:ilvl w:val="0"/>
          <w:numId w:val="1"/>
        </w:numPr>
        <w:overflowPunct/>
        <w:autoSpaceDE/>
        <w:autoSpaceDN/>
        <w:adjustRightInd/>
        <w:spacing w:after="200" w:line="276" w:lineRule="auto"/>
        <w:jc w:val="left"/>
        <w:textAlignment w:val="auto"/>
      </w:pPr>
      <w:bookmarkStart w:id="16" w:name="_Ref436224862"/>
      <w:r>
        <w:t>R1-157400</w:t>
      </w:r>
      <w:r w:rsidR="00A430A8">
        <w:t>, “NB-</w:t>
      </w:r>
      <w:r w:rsidR="00A430A8" w:rsidRPr="00A430A8">
        <w:t xml:space="preserve">IoT – Random Access Evaluation in </w:t>
      </w:r>
      <w:r w:rsidR="00A430A8">
        <w:t>Guardband</w:t>
      </w:r>
      <w:r w:rsidR="00A430A8" w:rsidRPr="00A430A8">
        <w:t xml:space="preserve"> Deployment</w:t>
      </w:r>
      <w:r w:rsidR="00A430A8">
        <w:t>, source Ericsson, RAN1 #83.</w:t>
      </w:r>
      <w:bookmarkEnd w:id="16"/>
    </w:p>
    <w:p w14:paraId="76A435A6" w14:textId="3BAEE69F" w:rsidR="00A430A8" w:rsidRDefault="00C63025" w:rsidP="00990218">
      <w:pPr>
        <w:pStyle w:val="Reference"/>
        <w:numPr>
          <w:ilvl w:val="0"/>
          <w:numId w:val="1"/>
        </w:numPr>
        <w:overflowPunct/>
        <w:autoSpaceDE/>
        <w:autoSpaceDN/>
        <w:adjustRightInd/>
        <w:spacing w:after="200" w:line="276" w:lineRule="auto"/>
        <w:jc w:val="left"/>
        <w:textAlignment w:val="auto"/>
      </w:pPr>
      <w:bookmarkStart w:id="17" w:name="_Ref436224863"/>
      <w:r>
        <w:t>R1-157525</w:t>
      </w:r>
      <w:r w:rsidR="00A430A8">
        <w:t>, “NB-</w:t>
      </w:r>
      <w:r w:rsidR="00A430A8" w:rsidRPr="00A430A8">
        <w:t>IoT – Random</w:t>
      </w:r>
      <w:r w:rsidR="00A430A8">
        <w:t xml:space="preserve"> Access Evaluation in Inband</w:t>
      </w:r>
      <w:r w:rsidR="00A430A8" w:rsidRPr="00A430A8">
        <w:t xml:space="preserve"> Deployment</w:t>
      </w:r>
      <w:r w:rsidR="00A430A8">
        <w:t>, source Ericsson, RAN1 #83.</w:t>
      </w:r>
      <w:bookmarkEnd w:id="17"/>
    </w:p>
    <w:p w14:paraId="64E6F5AC" w14:textId="3641A52D" w:rsidR="00FD1717" w:rsidRPr="004B7027" w:rsidRDefault="00FD1717" w:rsidP="00990218">
      <w:pPr>
        <w:pStyle w:val="Reference"/>
        <w:numPr>
          <w:ilvl w:val="0"/>
          <w:numId w:val="1"/>
        </w:numPr>
        <w:tabs>
          <w:tab w:val="clear" w:pos="360"/>
        </w:tabs>
        <w:overflowPunct/>
        <w:autoSpaceDE/>
        <w:autoSpaceDN/>
        <w:adjustRightInd/>
        <w:spacing w:after="200" w:line="276" w:lineRule="auto"/>
        <w:ind w:left="357" w:hanging="357"/>
        <w:jc w:val="left"/>
        <w:textAlignment w:val="auto"/>
      </w:pPr>
      <w:bookmarkStart w:id="18" w:name="_Ref425165970"/>
      <w:r w:rsidRPr="00FD1717">
        <w:rPr>
          <w:rFonts w:cs="NimbusRomNo9L-Regu"/>
          <w:color w:val="231F20"/>
        </w:rPr>
        <w:t>3GPP TR 45.820</w:t>
      </w:r>
      <w:r w:rsidRPr="004B7027">
        <w:rPr>
          <w:rFonts w:cs="NimbusRomNo9L-Regu"/>
          <w:color w:val="231F20"/>
        </w:rPr>
        <w:t xml:space="preserve">, “Technical Specification Group GSM/EDGE Radio Access Network; Cellular System; Support for Ultra Low Complexity and Low Throughput Internet of Things; (Release 13),” </w:t>
      </w:r>
      <w:r w:rsidRPr="00FD1717">
        <w:rPr>
          <w:rFonts w:cs="NimbusRomNo9L-Regu"/>
        </w:rPr>
        <w:t>www.3gpp.org</w:t>
      </w:r>
      <w:r w:rsidRPr="004B7027">
        <w:rPr>
          <w:rFonts w:cs="NimbusRomNo9L-Regu"/>
          <w:color w:val="231F20"/>
        </w:rPr>
        <w:t>.</w:t>
      </w:r>
      <w:bookmarkEnd w:id="18"/>
    </w:p>
    <w:bookmarkEnd w:id="12"/>
    <w:p w14:paraId="334DCB33" w14:textId="7BDD51B8" w:rsidR="00102B71" w:rsidRPr="00102B71" w:rsidRDefault="00DB7F74" w:rsidP="00102B71">
      <w:pPr>
        <w:pStyle w:val="Reference"/>
        <w:numPr>
          <w:ilvl w:val="0"/>
          <w:numId w:val="0"/>
        </w:numPr>
        <w:overflowPunct/>
        <w:autoSpaceDE/>
        <w:autoSpaceDN/>
        <w:adjustRightInd/>
        <w:spacing w:after="200" w:line="276" w:lineRule="auto"/>
        <w:jc w:val="left"/>
        <w:textAlignment w:val="auto"/>
        <w:rPr>
          <w:highlight w:val="yellow"/>
        </w:rPr>
      </w:pPr>
      <w:r w:rsidRPr="00B076ED">
        <w:t xml:space="preserve">[8] </w:t>
      </w:r>
      <w:r w:rsidRPr="00DB7F74">
        <w:t>Lötter, M. P., and L. P. Linde. "Constant envelope filtering of complex spreading sequences." Electronics Letters 31.17 (1995): 1406-1407.</w:t>
      </w:r>
    </w:p>
    <w:sectPr w:rsidR="00102B71" w:rsidRPr="00102B71" w:rsidSect="003B5666">
      <w:headerReference w:type="default" r:id="rId15"/>
      <w:footerReference w:type="default" r:id="rId16"/>
      <w:headerReference w:type="first" r:id="rId17"/>
      <w:footerReference w:type="first" r:id="rId18"/>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70103" w14:textId="77777777" w:rsidR="007A1918" w:rsidRDefault="007A1918">
      <w:pPr>
        <w:spacing w:after="0"/>
      </w:pPr>
      <w:r>
        <w:separator/>
      </w:r>
    </w:p>
  </w:endnote>
  <w:endnote w:type="continuationSeparator" w:id="0">
    <w:p w14:paraId="2B401901" w14:textId="77777777" w:rsidR="007A1918" w:rsidRDefault="007A19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061B41" w:rsidRDefault="00061B41">
    <w:pPr>
      <w:pStyle w:val="Footer"/>
      <w:ind w:right="-1521"/>
    </w:pPr>
    <w:r>
      <w:rPr>
        <w:rStyle w:val="PageNumber"/>
      </w:rPr>
      <w:fldChar w:fldCharType="begin"/>
    </w:r>
    <w:r>
      <w:rPr>
        <w:rStyle w:val="PageNumber"/>
      </w:rPr>
      <w:instrText xml:space="preserve"> PAGE </w:instrText>
    </w:r>
    <w:r>
      <w:rPr>
        <w:rStyle w:val="PageNumber"/>
      </w:rPr>
      <w:fldChar w:fldCharType="separate"/>
    </w:r>
    <w:r w:rsidR="00B076ED">
      <w:rPr>
        <w:rStyle w:val="PageNumber"/>
      </w:rPr>
      <w:t>2</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76ED">
      <w:rPr>
        <w:rStyle w:val="PageNumber"/>
      </w:rPr>
      <w:t>8</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061B41" w:rsidRDefault="00061B41">
    <w:pPr>
      <w:pStyle w:val="Footer"/>
    </w:pPr>
    <w:r>
      <w:rPr>
        <w:rStyle w:val="PageNumber"/>
      </w:rPr>
      <w:fldChar w:fldCharType="begin"/>
    </w:r>
    <w:r>
      <w:rPr>
        <w:rStyle w:val="PageNumber"/>
      </w:rPr>
      <w:instrText xml:space="preserve"> PAGE </w:instrText>
    </w:r>
    <w:r>
      <w:rPr>
        <w:rStyle w:val="PageNumber"/>
      </w:rPr>
      <w:fldChar w:fldCharType="separate"/>
    </w:r>
    <w:r w:rsidR="00B076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76ED">
      <w:rPr>
        <w:rStyle w:val="PageNumber"/>
      </w:rPr>
      <w:t>8</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257A4" w14:textId="77777777" w:rsidR="007A1918" w:rsidRDefault="007A1918">
      <w:pPr>
        <w:spacing w:after="0"/>
      </w:pPr>
      <w:r>
        <w:separator/>
      </w:r>
    </w:p>
  </w:footnote>
  <w:footnote w:type="continuationSeparator" w:id="0">
    <w:p w14:paraId="644F179B" w14:textId="77777777" w:rsidR="007A1918" w:rsidRDefault="007A191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061B41" w:rsidRPr="006A0FC7" w:rsidRDefault="00061B4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061B41" w:rsidRPr="00BF30DA" w:rsidRDefault="00061B4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21113E9E"/>
    <w:multiLevelType w:val="singleLevel"/>
    <w:tmpl w:val="B4D4D9E8"/>
    <w:lvl w:ilvl="0">
      <w:start w:val="1"/>
      <w:numFmt w:val="decimal"/>
      <w:lvlText w:val="[%1]"/>
      <w:lvlJc w:val="left"/>
      <w:pPr>
        <w:tabs>
          <w:tab w:val="num" w:pos="360"/>
        </w:tabs>
        <w:ind w:left="360" w:hanging="360"/>
      </w:pPr>
    </w:lvl>
  </w:abstractNum>
  <w:abstractNum w:abstractNumId="3">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6AE31E7"/>
    <w:multiLevelType w:val="hybridMultilevel"/>
    <w:tmpl w:val="52B6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994545E"/>
    <w:multiLevelType w:val="hybridMultilevel"/>
    <w:tmpl w:val="A3CEC298"/>
    <w:lvl w:ilvl="0" w:tplc="FA1CC0D0">
      <w:start w:val="1"/>
      <w:numFmt w:val="bullet"/>
      <w:lvlText w:val="•"/>
      <w:lvlJc w:val="left"/>
      <w:pPr>
        <w:tabs>
          <w:tab w:val="num" w:pos="720"/>
        </w:tabs>
        <w:ind w:left="720" w:hanging="360"/>
      </w:pPr>
      <w:rPr>
        <w:rFonts w:ascii="Arial" w:hAnsi="Arial" w:hint="default"/>
      </w:rPr>
    </w:lvl>
    <w:lvl w:ilvl="1" w:tplc="60DA13DE">
      <w:start w:val="593"/>
      <w:numFmt w:val="bullet"/>
      <w:lvlText w:val="•"/>
      <w:lvlJc w:val="left"/>
      <w:pPr>
        <w:tabs>
          <w:tab w:val="num" w:pos="1440"/>
        </w:tabs>
        <w:ind w:left="1440" w:hanging="360"/>
      </w:pPr>
      <w:rPr>
        <w:rFonts w:ascii="Arial" w:hAnsi="Arial" w:hint="default"/>
      </w:rPr>
    </w:lvl>
    <w:lvl w:ilvl="2" w:tplc="9404D1E2" w:tentative="1">
      <w:start w:val="1"/>
      <w:numFmt w:val="bullet"/>
      <w:lvlText w:val="•"/>
      <w:lvlJc w:val="left"/>
      <w:pPr>
        <w:tabs>
          <w:tab w:val="num" w:pos="2160"/>
        </w:tabs>
        <w:ind w:left="2160" w:hanging="360"/>
      </w:pPr>
      <w:rPr>
        <w:rFonts w:ascii="Arial" w:hAnsi="Arial" w:hint="default"/>
      </w:rPr>
    </w:lvl>
    <w:lvl w:ilvl="3" w:tplc="804EAA8E" w:tentative="1">
      <w:start w:val="1"/>
      <w:numFmt w:val="bullet"/>
      <w:lvlText w:val="•"/>
      <w:lvlJc w:val="left"/>
      <w:pPr>
        <w:tabs>
          <w:tab w:val="num" w:pos="2880"/>
        </w:tabs>
        <w:ind w:left="2880" w:hanging="360"/>
      </w:pPr>
      <w:rPr>
        <w:rFonts w:ascii="Arial" w:hAnsi="Arial" w:hint="default"/>
      </w:rPr>
    </w:lvl>
    <w:lvl w:ilvl="4" w:tplc="950C529A" w:tentative="1">
      <w:start w:val="1"/>
      <w:numFmt w:val="bullet"/>
      <w:lvlText w:val="•"/>
      <w:lvlJc w:val="left"/>
      <w:pPr>
        <w:tabs>
          <w:tab w:val="num" w:pos="3600"/>
        </w:tabs>
        <w:ind w:left="3600" w:hanging="360"/>
      </w:pPr>
      <w:rPr>
        <w:rFonts w:ascii="Arial" w:hAnsi="Arial" w:hint="default"/>
      </w:rPr>
    </w:lvl>
    <w:lvl w:ilvl="5" w:tplc="2D2C7518" w:tentative="1">
      <w:start w:val="1"/>
      <w:numFmt w:val="bullet"/>
      <w:lvlText w:val="•"/>
      <w:lvlJc w:val="left"/>
      <w:pPr>
        <w:tabs>
          <w:tab w:val="num" w:pos="4320"/>
        </w:tabs>
        <w:ind w:left="4320" w:hanging="360"/>
      </w:pPr>
      <w:rPr>
        <w:rFonts w:ascii="Arial" w:hAnsi="Arial" w:hint="default"/>
      </w:rPr>
    </w:lvl>
    <w:lvl w:ilvl="6" w:tplc="8DBAC430" w:tentative="1">
      <w:start w:val="1"/>
      <w:numFmt w:val="bullet"/>
      <w:lvlText w:val="•"/>
      <w:lvlJc w:val="left"/>
      <w:pPr>
        <w:tabs>
          <w:tab w:val="num" w:pos="5040"/>
        </w:tabs>
        <w:ind w:left="5040" w:hanging="360"/>
      </w:pPr>
      <w:rPr>
        <w:rFonts w:ascii="Arial" w:hAnsi="Arial" w:hint="default"/>
      </w:rPr>
    </w:lvl>
    <w:lvl w:ilvl="7" w:tplc="1C9A95BA" w:tentative="1">
      <w:start w:val="1"/>
      <w:numFmt w:val="bullet"/>
      <w:lvlText w:val="•"/>
      <w:lvlJc w:val="left"/>
      <w:pPr>
        <w:tabs>
          <w:tab w:val="num" w:pos="5760"/>
        </w:tabs>
        <w:ind w:left="5760" w:hanging="360"/>
      </w:pPr>
      <w:rPr>
        <w:rFonts w:ascii="Arial" w:hAnsi="Arial" w:hint="default"/>
      </w:rPr>
    </w:lvl>
    <w:lvl w:ilvl="8" w:tplc="6CF21E08"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 w:numId="4">
    <w:abstractNumId w:val="1"/>
  </w:num>
  <w:num w:numId="5">
    <w:abstractNumId w:val="3"/>
  </w:num>
  <w:num w:numId="6">
    <w:abstractNumId w:val="7"/>
  </w:num>
  <w:num w:numId="7">
    <w:abstractNumId w:val="12"/>
  </w:num>
  <w:num w:numId="8">
    <w:abstractNumId w:val="4"/>
  </w:num>
  <w:num w:numId="9">
    <w:abstractNumId w:val="6"/>
  </w:num>
  <w:num w:numId="10">
    <w:abstractNumId w:val="5"/>
  </w:num>
  <w:num w:numId="11">
    <w:abstractNumId w:val="10"/>
  </w:num>
  <w:num w:numId="12">
    <w:abstractNumId w:val="9"/>
  </w:num>
  <w:num w:numId="13">
    <w:abstractNumId w:val="13"/>
  </w:num>
  <w:num w:numId="14">
    <w:abstractNumId w:val="8"/>
  </w:num>
  <w:num w:numId="1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F8F"/>
    <w:rsid w:val="000051C9"/>
    <w:rsid w:val="00005C0F"/>
    <w:rsid w:val="000075E4"/>
    <w:rsid w:val="0001002B"/>
    <w:rsid w:val="00010AEE"/>
    <w:rsid w:val="00013F4F"/>
    <w:rsid w:val="00014DAE"/>
    <w:rsid w:val="00017366"/>
    <w:rsid w:val="000237B9"/>
    <w:rsid w:val="0002572A"/>
    <w:rsid w:val="00027311"/>
    <w:rsid w:val="00027D60"/>
    <w:rsid w:val="00031103"/>
    <w:rsid w:val="00035879"/>
    <w:rsid w:val="00036AAB"/>
    <w:rsid w:val="00042044"/>
    <w:rsid w:val="00042761"/>
    <w:rsid w:val="00042A4F"/>
    <w:rsid w:val="0004621B"/>
    <w:rsid w:val="0005061C"/>
    <w:rsid w:val="0005126B"/>
    <w:rsid w:val="00052A90"/>
    <w:rsid w:val="00052CC3"/>
    <w:rsid w:val="000530D9"/>
    <w:rsid w:val="0005365D"/>
    <w:rsid w:val="0005434F"/>
    <w:rsid w:val="00055864"/>
    <w:rsid w:val="00055E6D"/>
    <w:rsid w:val="00055FB3"/>
    <w:rsid w:val="00057B28"/>
    <w:rsid w:val="00060362"/>
    <w:rsid w:val="00060CD9"/>
    <w:rsid w:val="00061919"/>
    <w:rsid w:val="00061B41"/>
    <w:rsid w:val="0006596D"/>
    <w:rsid w:val="000668DB"/>
    <w:rsid w:val="00067182"/>
    <w:rsid w:val="0007045A"/>
    <w:rsid w:val="000721FC"/>
    <w:rsid w:val="00072382"/>
    <w:rsid w:val="00074D6C"/>
    <w:rsid w:val="000803A9"/>
    <w:rsid w:val="00080800"/>
    <w:rsid w:val="00081CA2"/>
    <w:rsid w:val="000857F2"/>
    <w:rsid w:val="00087350"/>
    <w:rsid w:val="0008796B"/>
    <w:rsid w:val="00091A7F"/>
    <w:rsid w:val="00093C23"/>
    <w:rsid w:val="00093FC2"/>
    <w:rsid w:val="00096C16"/>
    <w:rsid w:val="00097F75"/>
    <w:rsid w:val="000A207F"/>
    <w:rsid w:val="000A29C6"/>
    <w:rsid w:val="000A4FF9"/>
    <w:rsid w:val="000A51A1"/>
    <w:rsid w:val="000A6510"/>
    <w:rsid w:val="000B1A6A"/>
    <w:rsid w:val="000B2C9C"/>
    <w:rsid w:val="000B31DD"/>
    <w:rsid w:val="000B3334"/>
    <w:rsid w:val="000B462B"/>
    <w:rsid w:val="000B484A"/>
    <w:rsid w:val="000B4C2A"/>
    <w:rsid w:val="000B53C1"/>
    <w:rsid w:val="000B5B8E"/>
    <w:rsid w:val="000C18F3"/>
    <w:rsid w:val="000C2715"/>
    <w:rsid w:val="000C3C4D"/>
    <w:rsid w:val="000C7570"/>
    <w:rsid w:val="000C7F06"/>
    <w:rsid w:val="000D00D7"/>
    <w:rsid w:val="000D036A"/>
    <w:rsid w:val="000D451A"/>
    <w:rsid w:val="000D4529"/>
    <w:rsid w:val="000D4A89"/>
    <w:rsid w:val="000D4E16"/>
    <w:rsid w:val="000E0248"/>
    <w:rsid w:val="000E114A"/>
    <w:rsid w:val="000E2D68"/>
    <w:rsid w:val="000E2DED"/>
    <w:rsid w:val="000E34C8"/>
    <w:rsid w:val="000E3586"/>
    <w:rsid w:val="000E4E27"/>
    <w:rsid w:val="000E63C3"/>
    <w:rsid w:val="000E71AB"/>
    <w:rsid w:val="000E7C9C"/>
    <w:rsid w:val="000E7F68"/>
    <w:rsid w:val="000F0839"/>
    <w:rsid w:val="000F0BFD"/>
    <w:rsid w:val="000F13BB"/>
    <w:rsid w:val="000F1847"/>
    <w:rsid w:val="000F20AD"/>
    <w:rsid w:val="000F22DE"/>
    <w:rsid w:val="000F2D08"/>
    <w:rsid w:val="000F2F61"/>
    <w:rsid w:val="000F4AC4"/>
    <w:rsid w:val="000F5A66"/>
    <w:rsid w:val="000F623B"/>
    <w:rsid w:val="000F6CB2"/>
    <w:rsid w:val="000F6CDC"/>
    <w:rsid w:val="00100F09"/>
    <w:rsid w:val="001015B9"/>
    <w:rsid w:val="00101845"/>
    <w:rsid w:val="00102510"/>
    <w:rsid w:val="00102B71"/>
    <w:rsid w:val="001033FB"/>
    <w:rsid w:val="0010354A"/>
    <w:rsid w:val="00104263"/>
    <w:rsid w:val="00111437"/>
    <w:rsid w:val="00111F79"/>
    <w:rsid w:val="00114738"/>
    <w:rsid w:val="00114D8B"/>
    <w:rsid w:val="0011502D"/>
    <w:rsid w:val="0011558F"/>
    <w:rsid w:val="001178F2"/>
    <w:rsid w:val="001203AA"/>
    <w:rsid w:val="00125368"/>
    <w:rsid w:val="001254C4"/>
    <w:rsid w:val="00127535"/>
    <w:rsid w:val="00130ED8"/>
    <w:rsid w:val="001311CC"/>
    <w:rsid w:val="0013241F"/>
    <w:rsid w:val="001354B2"/>
    <w:rsid w:val="00135EB8"/>
    <w:rsid w:val="00140C24"/>
    <w:rsid w:val="001421A8"/>
    <w:rsid w:val="00142231"/>
    <w:rsid w:val="00142630"/>
    <w:rsid w:val="00142768"/>
    <w:rsid w:val="0014605C"/>
    <w:rsid w:val="00146EC4"/>
    <w:rsid w:val="00147E0D"/>
    <w:rsid w:val="00151C32"/>
    <w:rsid w:val="00152595"/>
    <w:rsid w:val="001547A1"/>
    <w:rsid w:val="0015500D"/>
    <w:rsid w:val="001562B9"/>
    <w:rsid w:val="00157573"/>
    <w:rsid w:val="00157601"/>
    <w:rsid w:val="0015771F"/>
    <w:rsid w:val="0016019B"/>
    <w:rsid w:val="00160AA0"/>
    <w:rsid w:val="00161281"/>
    <w:rsid w:val="00161EB7"/>
    <w:rsid w:val="001636B7"/>
    <w:rsid w:val="00166DF7"/>
    <w:rsid w:val="00167432"/>
    <w:rsid w:val="00170486"/>
    <w:rsid w:val="0017094F"/>
    <w:rsid w:val="00172588"/>
    <w:rsid w:val="001726EA"/>
    <w:rsid w:val="0017281E"/>
    <w:rsid w:val="001738F4"/>
    <w:rsid w:val="00174542"/>
    <w:rsid w:val="00174768"/>
    <w:rsid w:val="00177929"/>
    <w:rsid w:val="0018252D"/>
    <w:rsid w:val="0018259F"/>
    <w:rsid w:val="00182960"/>
    <w:rsid w:val="001839DA"/>
    <w:rsid w:val="00183F42"/>
    <w:rsid w:val="00184118"/>
    <w:rsid w:val="00184232"/>
    <w:rsid w:val="00184BE0"/>
    <w:rsid w:val="001850AD"/>
    <w:rsid w:val="001852C0"/>
    <w:rsid w:val="00185B5F"/>
    <w:rsid w:val="00186D84"/>
    <w:rsid w:val="0018745C"/>
    <w:rsid w:val="00190C7B"/>
    <w:rsid w:val="00191B11"/>
    <w:rsid w:val="00194A90"/>
    <w:rsid w:val="001A0E97"/>
    <w:rsid w:val="001A3ADC"/>
    <w:rsid w:val="001A7B67"/>
    <w:rsid w:val="001B07BC"/>
    <w:rsid w:val="001B16EC"/>
    <w:rsid w:val="001B1D01"/>
    <w:rsid w:val="001B3005"/>
    <w:rsid w:val="001B32BE"/>
    <w:rsid w:val="001B5230"/>
    <w:rsid w:val="001B58B6"/>
    <w:rsid w:val="001C004F"/>
    <w:rsid w:val="001C1F12"/>
    <w:rsid w:val="001C34B5"/>
    <w:rsid w:val="001C6000"/>
    <w:rsid w:val="001C7D09"/>
    <w:rsid w:val="001D06AC"/>
    <w:rsid w:val="001D07A5"/>
    <w:rsid w:val="001D0FC8"/>
    <w:rsid w:val="001D2F18"/>
    <w:rsid w:val="001D35C5"/>
    <w:rsid w:val="001D5CD9"/>
    <w:rsid w:val="001D6714"/>
    <w:rsid w:val="001E0970"/>
    <w:rsid w:val="001E1C9C"/>
    <w:rsid w:val="001E213E"/>
    <w:rsid w:val="001E272E"/>
    <w:rsid w:val="001E582A"/>
    <w:rsid w:val="001E7AF7"/>
    <w:rsid w:val="001E7F0E"/>
    <w:rsid w:val="001F0CE9"/>
    <w:rsid w:val="001F3714"/>
    <w:rsid w:val="001F39B2"/>
    <w:rsid w:val="001F4253"/>
    <w:rsid w:val="001F5990"/>
    <w:rsid w:val="001F651E"/>
    <w:rsid w:val="001F6DF3"/>
    <w:rsid w:val="001F6E69"/>
    <w:rsid w:val="001F7623"/>
    <w:rsid w:val="002025E0"/>
    <w:rsid w:val="0020329A"/>
    <w:rsid w:val="0020459E"/>
    <w:rsid w:val="002063BA"/>
    <w:rsid w:val="00206BFE"/>
    <w:rsid w:val="00207898"/>
    <w:rsid w:val="002116AB"/>
    <w:rsid w:val="00214309"/>
    <w:rsid w:val="0021523D"/>
    <w:rsid w:val="002177DE"/>
    <w:rsid w:val="002204EA"/>
    <w:rsid w:val="0022072E"/>
    <w:rsid w:val="00220E5C"/>
    <w:rsid w:val="00223950"/>
    <w:rsid w:val="00224F96"/>
    <w:rsid w:val="00225036"/>
    <w:rsid w:val="00225A4C"/>
    <w:rsid w:val="00230E69"/>
    <w:rsid w:val="00232CFF"/>
    <w:rsid w:val="00234B6E"/>
    <w:rsid w:val="002351BF"/>
    <w:rsid w:val="00235772"/>
    <w:rsid w:val="00235E4A"/>
    <w:rsid w:val="00236C13"/>
    <w:rsid w:val="0023778C"/>
    <w:rsid w:val="00237F4E"/>
    <w:rsid w:val="00244E12"/>
    <w:rsid w:val="0024698E"/>
    <w:rsid w:val="00247898"/>
    <w:rsid w:val="002531AA"/>
    <w:rsid w:val="002533A6"/>
    <w:rsid w:val="00253C39"/>
    <w:rsid w:val="00255DB5"/>
    <w:rsid w:val="00255DFB"/>
    <w:rsid w:val="00255FDD"/>
    <w:rsid w:val="002624F5"/>
    <w:rsid w:val="00263976"/>
    <w:rsid w:val="00264921"/>
    <w:rsid w:val="00264BC8"/>
    <w:rsid w:val="00265439"/>
    <w:rsid w:val="00270264"/>
    <w:rsid w:val="0027285A"/>
    <w:rsid w:val="00273DC9"/>
    <w:rsid w:val="00276553"/>
    <w:rsid w:val="002818AC"/>
    <w:rsid w:val="00281BFA"/>
    <w:rsid w:val="00285772"/>
    <w:rsid w:val="002860F4"/>
    <w:rsid w:val="00287364"/>
    <w:rsid w:val="00287516"/>
    <w:rsid w:val="00287D33"/>
    <w:rsid w:val="00291AA4"/>
    <w:rsid w:val="00292A88"/>
    <w:rsid w:val="0029480F"/>
    <w:rsid w:val="002951FC"/>
    <w:rsid w:val="002A1CBA"/>
    <w:rsid w:val="002A4A3B"/>
    <w:rsid w:val="002A5A3A"/>
    <w:rsid w:val="002A5DC6"/>
    <w:rsid w:val="002A6373"/>
    <w:rsid w:val="002B07C7"/>
    <w:rsid w:val="002B11BE"/>
    <w:rsid w:val="002B2C10"/>
    <w:rsid w:val="002B368A"/>
    <w:rsid w:val="002B44D8"/>
    <w:rsid w:val="002B4986"/>
    <w:rsid w:val="002B5026"/>
    <w:rsid w:val="002B56F8"/>
    <w:rsid w:val="002B783E"/>
    <w:rsid w:val="002C1E40"/>
    <w:rsid w:val="002C3811"/>
    <w:rsid w:val="002C39D5"/>
    <w:rsid w:val="002C4475"/>
    <w:rsid w:val="002C6DB8"/>
    <w:rsid w:val="002D14F3"/>
    <w:rsid w:val="002D3252"/>
    <w:rsid w:val="002D43CF"/>
    <w:rsid w:val="002D4EAD"/>
    <w:rsid w:val="002D5B4C"/>
    <w:rsid w:val="002E04A3"/>
    <w:rsid w:val="002E499D"/>
    <w:rsid w:val="002F3FAE"/>
    <w:rsid w:val="002F4CA7"/>
    <w:rsid w:val="002F6BC2"/>
    <w:rsid w:val="002F756D"/>
    <w:rsid w:val="003000EB"/>
    <w:rsid w:val="003013DF"/>
    <w:rsid w:val="0030654E"/>
    <w:rsid w:val="00312CFF"/>
    <w:rsid w:val="0031334F"/>
    <w:rsid w:val="003140E8"/>
    <w:rsid w:val="00314278"/>
    <w:rsid w:val="003150B0"/>
    <w:rsid w:val="00315CBA"/>
    <w:rsid w:val="00320D05"/>
    <w:rsid w:val="003211C9"/>
    <w:rsid w:val="00321B25"/>
    <w:rsid w:val="00322939"/>
    <w:rsid w:val="00322C8D"/>
    <w:rsid w:val="003230B3"/>
    <w:rsid w:val="00323F7A"/>
    <w:rsid w:val="00324758"/>
    <w:rsid w:val="00327656"/>
    <w:rsid w:val="003305C3"/>
    <w:rsid w:val="00332A8C"/>
    <w:rsid w:val="00332C78"/>
    <w:rsid w:val="00335026"/>
    <w:rsid w:val="003379B0"/>
    <w:rsid w:val="00340E5F"/>
    <w:rsid w:val="0034618D"/>
    <w:rsid w:val="0034674D"/>
    <w:rsid w:val="00347E2E"/>
    <w:rsid w:val="00351F34"/>
    <w:rsid w:val="00352334"/>
    <w:rsid w:val="003526DC"/>
    <w:rsid w:val="0035309F"/>
    <w:rsid w:val="00353DCF"/>
    <w:rsid w:val="00355478"/>
    <w:rsid w:val="003558AF"/>
    <w:rsid w:val="00355DC7"/>
    <w:rsid w:val="003578EB"/>
    <w:rsid w:val="00357C52"/>
    <w:rsid w:val="00360AC7"/>
    <w:rsid w:val="0036159C"/>
    <w:rsid w:val="003625B9"/>
    <w:rsid w:val="00362B1B"/>
    <w:rsid w:val="00366F31"/>
    <w:rsid w:val="00367A0D"/>
    <w:rsid w:val="003706ED"/>
    <w:rsid w:val="00371E8A"/>
    <w:rsid w:val="00371EAE"/>
    <w:rsid w:val="0037332C"/>
    <w:rsid w:val="0038104D"/>
    <w:rsid w:val="003810E8"/>
    <w:rsid w:val="00382067"/>
    <w:rsid w:val="00383CE6"/>
    <w:rsid w:val="0038496E"/>
    <w:rsid w:val="00384D96"/>
    <w:rsid w:val="003858E4"/>
    <w:rsid w:val="00385AAD"/>
    <w:rsid w:val="00390692"/>
    <w:rsid w:val="0039083F"/>
    <w:rsid w:val="003A04AE"/>
    <w:rsid w:val="003A0C22"/>
    <w:rsid w:val="003A0C84"/>
    <w:rsid w:val="003A35CF"/>
    <w:rsid w:val="003A6896"/>
    <w:rsid w:val="003A6A2E"/>
    <w:rsid w:val="003A6DFC"/>
    <w:rsid w:val="003A7CE5"/>
    <w:rsid w:val="003B1438"/>
    <w:rsid w:val="003B153D"/>
    <w:rsid w:val="003B2869"/>
    <w:rsid w:val="003B2F31"/>
    <w:rsid w:val="003B3145"/>
    <w:rsid w:val="003B5666"/>
    <w:rsid w:val="003C3120"/>
    <w:rsid w:val="003C456B"/>
    <w:rsid w:val="003C72EE"/>
    <w:rsid w:val="003C7E0D"/>
    <w:rsid w:val="003D0A8F"/>
    <w:rsid w:val="003D15A1"/>
    <w:rsid w:val="003D273D"/>
    <w:rsid w:val="003D3EEA"/>
    <w:rsid w:val="003D7DDF"/>
    <w:rsid w:val="003E093D"/>
    <w:rsid w:val="003E1145"/>
    <w:rsid w:val="003E1657"/>
    <w:rsid w:val="003E2B02"/>
    <w:rsid w:val="003E3C3F"/>
    <w:rsid w:val="003E4112"/>
    <w:rsid w:val="003E4944"/>
    <w:rsid w:val="003E54AE"/>
    <w:rsid w:val="003E6309"/>
    <w:rsid w:val="003E6879"/>
    <w:rsid w:val="003E70DE"/>
    <w:rsid w:val="003E7A09"/>
    <w:rsid w:val="003F1E4A"/>
    <w:rsid w:val="003F20EB"/>
    <w:rsid w:val="003F253D"/>
    <w:rsid w:val="003F2D08"/>
    <w:rsid w:val="003F2DD5"/>
    <w:rsid w:val="003F3ACB"/>
    <w:rsid w:val="003F411D"/>
    <w:rsid w:val="003F430C"/>
    <w:rsid w:val="003F5102"/>
    <w:rsid w:val="003F614C"/>
    <w:rsid w:val="003F6C3A"/>
    <w:rsid w:val="003F7140"/>
    <w:rsid w:val="003F7E57"/>
    <w:rsid w:val="00400026"/>
    <w:rsid w:val="004024A4"/>
    <w:rsid w:val="004025B9"/>
    <w:rsid w:val="0040262E"/>
    <w:rsid w:val="0040291E"/>
    <w:rsid w:val="004035A7"/>
    <w:rsid w:val="00405F52"/>
    <w:rsid w:val="004077BE"/>
    <w:rsid w:val="00407D0E"/>
    <w:rsid w:val="00407DA3"/>
    <w:rsid w:val="004106AB"/>
    <w:rsid w:val="00411778"/>
    <w:rsid w:val="00414004"/>
    <w:rsid w:val="00414321"/>
    <w:rsid w:val="00414D8B"/>
    <w:rsid w:val="00414F7A"/>
    <w:rsid w:val="00414F92"/>
    <w:rsid w:val="00420193"/>
    <w:rsid w:val="0042059A"/>
    <w:rsid w:val="00420701"/>
    <w:rsid w:val="00420745"/>
    <w:rsid w:val="00421F27"/>
    <w:rsid w:val="00422D08"/>
    <w:rsid w:val="00425B94"/>
    <w:rsid w:val="00427DC8"/>
    <w:rsid w:val="004373A6"/>
    <w:rsid w:val="004375FE"/>
    <w:rsid w:val="00437704"/>
    <w:rsid w:val="00440089"/>
    <w:rsid w:val="00441B76"/>
    <w:rsid w:val="00443BBF"/>
    <w:rsid w:val="00447F5B"/>
    <w:rsid w:val="0045072F"/>
    <w:rsid w:val="00450C58"/>
    <w:rsid w:val="004522B2"/>
    <w:rsid w:val="00453445"/>
    <w:rsid w:val="004559A1"/>
    <w:rsid w:val="00456CBD"/>
    <w:rsid w:val="00456F20"/>
    <w:rsid w:val="0045766E"/>
    <w:rsid w:val="004576AA"/>
    <w:rsid w:val="00457BBD"/>
    <w:rsid w:val="00457C55"/>
    <w:rsid w:val="00461F41"/>
    <w:rsid w:val="00462325"/>
    <w:rsid w:val="004626F7"/>
    <w:rsid w:val="00462753"/>
    <w:rsid w:val="00464786"/>
    <w:rsid w:val="00464A7E"/>
    <w:rsid w:val="00465078"/>
    <w:rsid w:val="0046507A"/>
    <w:rsid w:val="00466096"/>
    <w:rsid w:val="00472397"/>
    <w:rsid w:val="0047268E"/>
    <w:rsid w:val="004743C0"/>
    <w:rsid w:val="004745C5"/>
    <w:rsid w:val="00474666"/>
    <w:rsid w:val="00476D85"/>
    <w:rsid w:val="004779A9"/>
    <w:rsid w:val="0048083A"/>
    <w:rsid w:val="004857BA"/>
    <w:rsid w:val="00486F40"/>
    <w:rsid w:val="00490EB5"/>
    <w:rsid w:val="00491B56"/>
    <w:rsid w:val="004A0B27"/>
    <w:rsid w:val="004A0C80"/>
    <w:rsid w:val="004A0D5B"/>
    <w:rsid w:val="004A2D23"/>
    <w:rsid w:val="004A305F"/>
    <w:rsid w:val="004A37FB"/>
    <w:rsid w:val="004A51E8"/>
    <w:rsid w:val="004A7311"/>
    <w:rsid w:val="004A74BA"/>
    <w:rsid w:val="004B067D"/>
    <w:rsid w:val="004B131E"/>
    <w:rsid w:val="004B4AC8"/>
    <w:rsid w:val="004C1326"/>
    <w:rsid w:val="004C1417"/>
    <w:rsid w:val="004C18ED"/>
    <w:rsid w:val="004C4A6D"/>
    <w:rsid w:val="004C4BDC"/>
    <w:rsid w:val="004C519C"/>
    <w:rsid w:val="004C51B7"/>
    <w:rsid w:val="004D21D7"/>
    <w:rsid w:val="004D4135"/>
    <w:rsid w:val="004D7226"/>
    <w:rsid w:val="004E2FC3"/>
    <w:rsid w:val="004E3C80"/>
    <w:rsid w:val="004F118D"/>
    <w:rsid w:val="004F3C24"/>
    <w:rsid w:val="004F434A"/>
    <w:rsid w:val="004F4C94"/>
    <w:rsid w:val="004F756F"/>
    <w:rsid w:val="005001A3"/>
    <w:rsid w:val="005007BF"/>
    <w:rsid w:val="005029B2"/>
    <w:rsid w:val="005036DA"/>
    <w:rsid w:val="005052C9"/>
    <w:rsid w:val="005056D1"/>
    <w:rsid w:val="00506961"/>
    <w:rsid w:val="00511F61"/>
    <w:rsid w:val="0051496C"/>
    <w:rsid w:val="00514B79"/>
    <w:rsid w:val="00514F33"/>
    <w:rsid w:val="00516EB5"/>
    <w:rsid w:val="005175E0"/>
    <w:rsid w:val="00520546"/>
    <w:rsid w:val="00520743"/>
    <w:rsid w:val="00520FEA"/>
    <w:rsid w:val="00521C79"/>
    <w:rsid w:val="00522658"/>
    <w:rsid w:val="00523338"/>
    <w:rsid w:val="0052438A"/>
    <w:rsid w:val="00525201"/>
    <w:rsid w:val="005256AF"/>
    <w:rsid w:val="005260AD"/>
    <w:rsid w:val="00526E67"/>
    <w:rsid w:val="00530CE6"/>
    <w:rsid w:val="00531E00"/>
    <w:rsid w:val="00532C41"/>
    <w:rsid w:val="00533201"/>
    <w:rsid w:val="00534B00"/>
    <w:rsid w:val="005374AC"/>
    <w:rsid w:val="0053773A"/>
    <w:rsid w:val="005377F6"/>
    <w:rsid w:val="00541C4C"/>
    <w:rsid w:val="00543232"/>
    <w:rsid w:val="00543F98"/>
    <w:rsid w:val="0054763B"/>
    <w:rsid w:val="00551F8F"/>
    <w:rsid w:val="00552309"/>
    <w:rsid w:val="0055496A"/>
    <w:rsid w:val="00557491"/>
    <w:rsid w:val="0055777F"/>
    <w:rsid w:val="005579F6"/>
    <w:rsid w:val="00560250"/>
    <w:rsid w:val="0056106B"/>
    <w:rsid w:val="005613B5"/>
    <w:rsid w:val="00566C01"/>
    <w:rsid w:val="005708A8"/>
    <w:rsid w:val="00573F6F"/>
    <w:rsid w:val="005753F0"/>
    <w:rsid w:val="00580B24"/>
    <w:rsid w:val="00582D4B"/>
    <w:rsid w:val="005849A7"/>
    <w:rsid w:val="00584AC1"/>
    <w:rsid w:val="00585266"/>
    <w:rsid w:val="00586A0F"/>
    <w:rsid w:val="005902D9"/>
    <w:rsid w:val="00591229"/>
    <w:rsid w:val="005939CA"/>
    <w:rsid w:val="0059453B"/>
    <w:rsid w:val="00594E36"/>
    <w:rsid w:val="00595EA5"/>
    <w:rsid w:val="005969F9"/>
    <w:rsid w:val="00596E2F"/>
    <w:rsid w:val="00596F14"/>
    <w:rsid w:val="00597F88"/>
    <w:rsid w:val="005A0A6F"/>
    <w:rsid w:val="005A28E5"/>
    <w:rsid w:val="005A344E"/>
    <w:rsid w:val="005A4EAA"/>
    <w:rsid w:val="005A6E8F"/>
    <w:rsid w:val="005A7BD4"/>
    <w:rsid w:val="005B0BF3"/>
    <w:rsid w:val="005B14FF"/>
    <w:rsid w:val="005B1CD7"/>
    <w:rsid w:val="005B289F"/>
    <w:rsid w:val="005B2DC1"/>
    <w:rsid w:val="005B3355"/>
    <w:rsid w:val="005B5DFA"/>
    <w:rsid w:val="005C0A7E"/>
    <w:rsid w:val="005C440F"/>
    <w:rsid w:val="005C52BF"/>
    <w:rsid w:val="005C641A"/>
    <w:rsid w:val="005D0472"/>
    <w:rsid w:val="005D0983"/>
    <w:rsid w:val="005D0F52"/>
    <w:rsid w:val="005D1708"/>
    <w:rsid w:val="005D1FCD"/>
    <w:rsid w:val="005D2708"/>
    <w:rsid w:val="005D2869"/>
    <w:rsid w:val="005D4C96"/>
    <w:rsid w:val="005D4CAA"/>
    <w:rsid w:val="005D61B2"/>
    <w:rsid w:val="005D7A04"/>
    <w:rsid w:val="005D7D54"/>
    <w:rsid w:val="005E08FB"/>
    <w:rsid w:val="005E29AA"/>
    <w:rsid w:val="005E35B0"/>
    <w:rsid w:val="005E6F1D"/>
    <w:rsid w:val="005F2532"/>
    <w:rsid w:val="005F3967"/>
    <w:rsid w:val="005F400D"/>
    <w:rsid w:val="005F603E"/>
    <w:rsid w:val="005F62B1"/>
    <w:rsid w:val="0060058D"/>
    <w:rsid w:val="006005FD"/>
    <w:rsid w:val="00600FE0"/>
    <w:rsid w:val="00602F6E"/>
    <w:rsid w:val="0060550A"/>
    <w:rsid w:val="00613D7E"/>
    <w:rsid w:val="0061407C"/>
    <w:rsid w:val="00615A64"/>
    <w:rsid w:val="00615AE4"/>
    <w:rsid w:val="006170D2"/>
    <w:rsid w:val="0062197D"/>
    <w:rsid w:val="00621A6E"/>
    <w:rsid w:val="00622075"/>
    <w:rsid w:val="00623176"/>
    <w:rsid w:val="006231CB"/>
    <w:rsid w:val="0062374F"/>
    <w:rsid w:val="00624196"/>
    <w:rsid w:val="00625078"/>
    <w:rsid w:val="0062509D"/>
    <w:rsid w:val="0062533B"/>
    <w:rsid w:val="00625EF2"/>
    <w:rsid w:val="00625F80"/>
    <w:rsid w:val="00627996"/>
    <w:rsid w:val="00631256"/>
    <w:rsid w:val="00631F2F"/>
    <w:rsid w:val="006326F1"/>
    <w:rsid w:val="0063438C"/>
    <w:rsid w:val="00637A2C"/>
    <w:rsid w:val="00637BFA"/>
    <w:rsid w:val="00637CDC"/>
    <w:rsid w:val="00642959"/>
    <w:rsid w:val="00645AAE"/>
    <w:rsid w:val="00645F42"/>
    <w:rsid w:val="00647610"/>
    <w:rsid w:val="00652482"/>
    <w:rsid w:val="00652686"/>
    <w:rsid w:val="0065320B"/>
    <w:rsid w:val="006564F5"/>
    <w:rsid w:val="00656CEB"/>
    <w:rsid w:val="006572DB"/>
    <w:rsid w:val="00657B8A"/>
    <w:rsid w:val="00660027"/>
    <w:rsid w:val="00662906"/>
    <w:rsid w:val="006644C6"/>
    <w:rsid w:val="00674442"/>
    <w:rsid w:val="00674ACF"/>
    <w:rsid w:val="00676297"/>
    <w:rsid w:val="0067637D"/>
    <w:rsid w:val="00683F57"/>
    <w:rsid w:val="006843DD"/>
    <w:rsid w:val="006863BF"/>
    <w:rsid w:val="006879C9"/>
    <w:rsid w:val="00687B18"/>
    <w:rsid w:val="00687C54"/>
    <w:rsid w:val="0069139A"/>
    <w:rsid w:val="00691D59"/>
    <w:rsid w:val="00693300"/>
    <w:rsid w:val="00697064"/>
    <w:rsid w:val="0069744E"/>
    <w:rsid w:val="006A01D7"/>
    <w:rsid w:val="006A0D1F"/>
    <w:rsid w:val="006A0FC7"/>
    <w:rsid w:val="006A1CDE"/>
    <w:rsid w:val="006A1CF1"/>
    <w:rsid w:val="006A1F5B"/>
    <w:rsid w:val="006A2F4C"/>
    <w:rsid w:val="006A437D"/>
    <w:rsid w:val="006A6565"/>
    <w:rsid w:val="006A72D1"/>
    <w:rsid w:val="006B2525"/>
    <w:rsid w:val="006B3F63"/>
    <w:rsid w:val="006B4CD6"/>
    <w:rsid w:val="006B589F"/>
    <w:rsid w:val="006B5B75"/>
    <w:rsid w:val="006B5CA4"/>
    <w:rsid w:val="006B7C09"/>
    <w:rsid w:val="006C03D6"/>
    <w:rsid w:val="006C0829"/>
    <w:rsid w:val="006C13C2"/>
    <w:rsid w:val="006C3505"/>
    <w:rsid w:val="006C4961"/>
    <w:rsid w:val="006C5DC3"/>
    <w:rsid w:val="006C66E6"/>
    <w:rsid w:val="006C67B9"/>
    <w:rsid w:val="006C7316"/>
    <w:rsid w:val="006D203B"/>
    <w:rsid w:val="006D2304"/>
    <w:rsid w:val="006D2A6D"/>
    <w:rsid w:val="006D2CBF"/>
    <w:rsid w:val="006D4FC7"/>
    <w:rsid w:val="006D64FA"/>
    <w:rsid w:val="006D6865"/>
    <w:rsid w:val="006D76CD"/>
    <w:rsid w:val="006E1967"/>
    <w:rsid w:val="006E321C"/>
    <w:rsid w:val="006E4216"/>
    <w:rsid w:val="006F1C29"/>
    <w:rsid w:val="006F289B"/>
    <w:rsid w:val="006F2C3A"/>
    <w:rsid w:val="006F3289"/>
    <w:rsid w:val="006F384E"/>
    <w:rsid w:val="006F4F4E"/>
    <w:rsid w:val="006F61BE"/>
    <w:rsid w:val="006F678D"/>
    <w:rsid w:val="006F6B2B"/>
    <w:rsid w:val="007021B6"/>
    <w:rsid w:val="00702264"/>
    <w:rsid w:val="0070296D"/>
    <w:rsid w:val="007042AA"/>
    <w:rsid w:val="007058B7"/>
    <w:rsid w:val="00706DFC"/>
    <w:rsid w:val="007116FE"/>
    <w:rsid w:val="00712912"/>
    <w:rsid w:val="00713109"/>
    <w:rsid w:val="00713C99"/>
    <w:rsid w:val="00715EF6"/>
    <w:rsid w:val="0071670B"/>
    <w:rsid w:val="00721B29"/>
    <w:rsid w:val="00721E7C"/>
    <w:rsid w:val="00725EF5"/>
    <w:rsid w:val="00726BE5"/>
    <w:rsid w:val="007278A9"/>
    <w:rsid w:val="007345DF"/>
    <w:rsid w:val="0073488B"/>
    <w:rsid w:val="00736CC6"/>
    <w:rsid w:val="00736D17"/>
    <w:rsid w:val="00740405"/>
    <w:rsid w:val="00740EA2"/>
    <w:rsid w:val="00741459"/>
    <w:rsid w:val="00741A88"/>
    <w:rsid w:val="00741BB0"/>
    <w:rsid w:val="00743188"/>
    <w:rsid w:val="00744C89"/>
    <w:rsid w:val="00744E0C"/>
    <w:rsid w:val="00744F6F"/>
    <w:rsid w:val="007452AE"/>
    <w:rsid w:val="00746FA1"/>
    <w:rsid w:val="00747349"/>
    <w:rsid w:val="007507C2"/>
    <w:rsid w:val="00750BBA"/>
    <w:rsid w:val="00750E35"/>
    <w:rsid w:val="00751616"/>
    <w:rsid w:val="00752E51"/>
    <w:rsid w:val="00754828"/>
    <w:rsid w:val="00755030"/>
    <w:rsid w:val="00755678"/>
    <w:rsid w:val="007559FE"/>
    <w:rsid w:val="0075613C"/>
    <w:rsid w:val="00757474"/>
    <w:rsid w:val="007616B8"/>
    <w:rsid w:val="00761706"/>
    <w:rsid w:val="007626D3"/>
    <w:rsid w:val="00763045"/>
    <w:rsid w:val="00763114"/>
    <w:rsid w:val="00765FF7"/>
    <w:rsid w:val="00766775"/>
    <w:rsid w:val="00767578"/>
    <w:rsid w:val="00771E29"/>
    <w:rsid w:val="00774294"/>
    <w:rsid w:val="00774B87"/>
    <w:rsid w:val="00774FB0"/>
    <w:rsid w:val="00775B33"/>
    <w:rsid w:val="007844BE"/>
    <w:rsid w:val="0079102B"/>
    <w:rsid w:val="00792345"/>
    <w:rsid w:val="00794512"/>
    <w:rsid w:val="00794A0D"/>
    <w:rsid w:val="00794DF0"/>
    <w:rsid w:val="007A0156"/>
    <w:rsid w:val="007A1918"/>
    <w:rsid w:val="007A2B08"/>
    <w:rsid w:val="007A31EB"/>
    <w:rsid w:val="007A3826"/>
    <w:rsid w:val="007A4758"/>
    <w:rsid w:val="007A6FDA"/>
    <w:rsid w:val="007B079D"/>
    <w:rsid w:val="007B557C"/>
    <w:rsid w:val="007B7D73"/>
    <w:rsid w:val="007C0474"/>
    <w:rsid w:val="007C0818"/>
    <w:rsid w:val="007C14E9"/>
    <w:rsid w:val="007C16DF"/>
    <w:rsid w:val="007C1DA9"/>
    <w:rsid w:val="007C4603"/>
    <w:rsid w:val="007C4D1A"/>
    <w:rsid w:val="007D01E5"/>
    <w:rsid w:val="007D09BB"/>
    <w:rsid w:val="007D19C6"/>
    <w:rsid w:val="007D549A"/>
    <w:rsid w:val="007D649A"/>
    <w:rsid w:val="007D7C3E"/>
    <w:rsid w:val="007E027B"/>
    <w:rsid w:val="007E0E28"/>
    <w:rsid w:val="007E174F"/>
    <w:rsid w:val="007E18CE"/>
    <w:rsid w:val="007E1AAB"/>
    <w:rsid w:val="007E2208"/>
    <w:rsid w:val="007E4849"/>
    <w:rsid w:val="007E7D3F"/>
    <w:rsid w:val="007F1C84"/>
    <w:rsid w:val="007F36C8"/>
    <w:rsid w:val="007F3A50"/>
    <w:rsid w:val="007F4772"/>
    <w:rsid w:val="007F63DD"/>
    <w:rsid w:val="007F7A85"/>
    <w:rsid w:val="00800105"/>
    <w:rsid w:val="00800251"/>
    <w:rsid w:val="00802872"/>
    <w:rsid w:val="00803D62"/>
    <w:rsid w:val="008100A9"/>
    <w:rsid w:val="00810D57"/>
    <w:rsid w:val="00811984"/>
    <w:rsid w:val="00812BF9"/>
    <w:rsid w:val="00813688"/>
    <w:rsid w:val="00813C8F"/>
    <w:rsid w:val="008142FD"/>
    <w:rsid w:val="00815712"/>
    <w:rsid w:val="00815A88"/>
    <w:rsid w:val="008164A1"/>
    <w:rsid w:val="00817219"/>
    <w:rsid w:val="00817A23"/>
    <w:rsid w:val="00817AA4"/>
    <w:rsid w:val="00820F8C"/>
    <w:rsid w:val="0082177D"/>
    <w:rsid w:val="0082358A"/>
    <w:rsid w:val="00824E69"/>
    <w:rsid w:val="00824FAD"/>
    <w:rsid w:val="0082509B"/>
    <w:rsid w:val="00832F1E"/>
    <w:rsid w:val="0083685F"/>
    <w:rsid w:val="00837339"/>
    <w:rsid w:val="0083744D"/>
    <w:rsid w:val="00841D94"/>
    <w:rsid w:val="00845A36"/>
    <w:rsid w:val="00847AA7"/>
    <w:rsid w:val="008517E1"/>
    <w:rsid w:val="00851BCB"/>
    <w:rsid w:val="00855EEF"/>
    <w:rsid w:val="00857659"/>
    <w:rsid w:val="00860504"/>
    <w:rsid w:val="00862056"/>
    <w:rsid w:val="0086315C"/>
    <w:rsid w:val="008647B5"/>
    <w:rsid w:val="00864CBC"/>
    <w:rsid w:val="00865B3F"/>
    <w:rsid w:val="0086694B"/>
    <w:rsid w:val="00867A19"/>
    <w:rsid w:val="0087092A"/>
    <w:rsid w:val="0087150A"/>
    <w:rsid w:val="0087211E"/>
    <w:rsid w:val="00874A56"/>
    <w:rsid w:val="00875CF8"/>
    <w:rsid w:val="0088393A"/>
    <w:rsid w:val="00885946"/>
    <w:rsid w:val="00890DA4"/>
    <w:rsid w:val="00892F8A"/>
    <w:rsid w:val="0089426E"/>
    <w:rsid w:val="008948D4"/>
    <w:rsid w:val="00895096"/>
    <w:rsid w:val="00896EA4"/>
    <w:rsid w:val="00897546"/>
    <w:rsid w:val="008A002B"/>
    <w:rsid w:val="008A1FB3"/>
    <w:rsid w:val="008A255F"/>
    <w:rsid w:val="008A2B76"/>
    <w:rsid w:val="008A42AD"/>
    <w:rsid w:val="008A4D9B"/>
    <w:rsid w:val="008A52D3"/>
    <w:rsid w:val="008A54D6"/>
    <w:rsid w:val="008A5B24"/>
    <w:rsid w:val="008A65DF"/>
    <w:rsid w:val="008A7199"/>
    <w:rsid w:val="008A788A"/>
    <w:rsid w:val="008B2F7C"/>
    <w:rsid w:val="008B2FB4"/>
    <w:rsid w:val="008B51C1"/>
    <w:rsid w:val="008B79A5"/>
    <w:rsid w:val="008C03B4"/>
    <w:rsid w:val="008C055E"/>
    <w:rsid w:val="008C1BF6"/>
    <w:rsid w:val="008C3D7F"/>
    <w:rsid w:val="008C3EDE"/>
    <w:rsid w:val="008C4C33"/>
    <w:rsid w:val="008C5353"/>
    <w:rsid w:val="008C7D9E"/>
    <w:rsid w:val="008D21C5"/>
    <w:rsid w:val="008D32F9"/>
    <w:rsid w:val="008D3CC2"/>
    <w:rsid w:val="008D47BF"/>
    <w:rsid w:val="008D586A"/>
    <w:rsid w:val="008D5AC1"/>
    <w:rsid w:val="008D77EC"/>
    <w:rsid w:val="008D77F8"/>
    <w:rsid w:val="008E10A0"/>
    <w:rsid w:val="008E1BEB"/>
    <w:rsid w:val="008E1DE7"/>
    <w:rsid w:val="008E3D20"/>
    <w:rsid w:val="008E45C0"/>
    <w:rsid w:val="008E517D"/>
    <w:rsid w:val="008E6DF6"/>
    <w:rsid w:val="008E7E06"/>
    <w:rsid w:val="008F0C24"/>
    <w:rsid w:val="008F0DB6"/>
    <w:rsid w:val="008F132A"/>
    <w:rsid w:val="008F2129"/>
    <w:rsid w:val="008F2281"/>
    <w:rsid w:val="0090068E"/>
    <w:rsid w:val="00900A45"/>
    <w:rsid w:val="00900D2C"/>
    <w:rsid w:val="009030AC"/>
    <w:rsid w:val="009059FB"/>
    <w:rsid w:val="00906F95"/>
    <w:rsid w:val="009104EE"/>
    <w:rsid w:val="00910677"/>
    <w:rsid w:val="0091129F"/>
    <w:rsid w:val="009113B9"/>
    <w:rsid w:val="00912103"/>
    <w:rsid w:val="00912C1C"/>
    <w:rsid w:val="009145C7"/>
    <w:rsid w:val="00916232"/>
    <w:rsid w:val="00916CDA"/>
    <w:rsid w:val="00917064"/>
    <w:rsid w:val="00917B0B"/>
    <w:rsid w:val="0092098B"/>
    <w:rsid w:val="00920C7B"/>
    <w:rsid w:val="0092177D"/>
    <w:rsid w:val="00921AB6"/>
    <w:rsid w:val="0092263C"/>
    <w:rsid w:val="00922FBB"/>
    <w:rsid w:val="009235D6"/>
    <w:rsid w:val="00926614"/>
    <w:rsid w:val="00927E8A"/>
    <w:rsid w:val="0093236F"/>
    <w:rsid w:val="0093242B"/>
    <w:rsid w:val="00932AEA"/>
    <w:rsid w:val="00932BC5"/>
    <w:rsid w:val="009351D5"/>
    <w:rsid w:val="00936015"/>
    <w:rsid w:val="009361F9"/>
    <w:rsid w:val="00936660"/>
    <w:rsid w:val="00937BF1"/>
    <w:rsid w:val="00937F0E"/>
    <w:rsid w:val="00941D3A"/>
    <w:rsid w:val="00942712"/>
    <w:rsid w:val="0094520F"/>
    <w:rsid w:val="00945A79"/>
    <w:rsid w:val="00950EF8"/>
    <w:rsid w:val="00951444"/>
    <w:rsid w:val="00952014"/>
    <w:rsid w:val="0095743E"/>
    <w:rsid w:val="00957F02"/>
    <w:rsid w:val="009623A6"/>
    <w:rsid w:val="00963176"/>
    <w:rsid w:val="00963640"/>
    <w:rsid w:val="00963D1F"/>
    <w:rsid w:val="00964308"/>
    <w:rsid w:val="00964587"/>
    <w:rsid w:val="00964B1D"/>
    <w:rsid w:val="00965F1F"/>
    <w:rsid w:val="00966430"/>
    <w:rsid w:val="009700FD"/>
    <w:rsid w:val="00970975"/>
    <w:rsid w:val="009711E2"/>
    <w:rsid w:val="009734A6"/>
    <w:rsid w:val="009749A8"/>
    <w:rsid w:val="00976970"/>
    <w:rsid w:val="00976D4F"/>
    <w:rsid w:val="009779A0"/>
    <w:rsid w:val="0098034C"/>
    <w:rsid w:val="0098630E"/>
    <w:rsid w:val="00986A5E"/>
    <w:rsid w:val="00990218"/>
    <w:rsid w:val="00990549"/>
    <w:rsid w:val="00992046"/>
    <w:rsid w:val="009927B8"/>
    <w:rsid w:val="00994C26"/>
    <w:rsid w:val="009968EE"/>
    <w:rsid w:val="00996B1C"/>
    <w:rsid w:val="009977AB"/>
    <w:rsid w:val="009A0482"/>
    <w:rsid w:val="009A06C4"/>
    <w:rsid w:val="009A33D8"/>
    <w:rsid w:val="009A34B1"/>
    <w:rsid w:val="009A353A"/>
    <w:rsid w:val="009A4878"/>
    <w:rsid w:val="009A59C4"/>
    <w:rsid w:val="009B0F58"/>
    <w:rsid w:val="009B24A2"/>
    <w:rsid w:val="009B3549"/>
    <w:rsid w:val="009B3CA7"/>
    <w:rsid w:val="009B41B2"/>
    <w:rsid w:val="009B5FBE"/>
    <w:rsid w:val="009B72B5"/>
    <w:rsid w:val="009B777D"/>
    <w:rsid w:val="009C259F"/>
    <w:rsid w:val="009C32E6"/>
    <w:rsid w:val="009C3448"/>
    <w:rsid w:val="009C38EB"/>
    <w:rsid w:val="009C423A"/>
    <w:rsid w:val="009C4EC3"/>
    <w:rsid w:val="009C6D7D"/>
    <w:rsid w:val="009C7248"/>
    <w:rsid w:val="009D189D"/>
    <w:rsid w:val="009D79FE"/>
    <w:rsid w:val="009D7D8D"/>
    <w:rsid w:val="009E04DD"/>
    <w:rsid w:val="009E30ED"/>
    <w:rsid w:val="009E3ACB"/>
    <w:rsid w:val="009E51CF"/>
    <w:rsid w:val="009E7939"/>
    <w:rsid w:val="009F0485"/>
    <w:rsid w:val="009F05D0"/>
    <w:rsid w:val="009F0896"/>
    <w:rsid w:val="009F13FC"/>
    <w:rsid w:val="009F1ABF"/>
    <w:rsid w:val="009F42A7"/>
    <w:rsid w:val="009F495F"/>
    <w:rsid w:val="009F5D3C"/>
    <w:rsid w:val="009F5DC6"/>
    <w:rsid w:val="00A00805"/>
    <w:rsid w:val="00A00C54"/>
    <w:rsid w:val="00A01289"/>
    <w:rsid w:val="00A0258F"/>
    <w:rsid w:val="00A03E08"/>
    <w:rsid w:val="00A041A9"/>
    <w:rsid w:val="00A07085"/>
    <w:rsid w:val="00A10A53"/>
    <w:rsid w:val="00A117BE"/>
    <w:rsid w:val="00A13085"/>
    <w:rsid w:val="00A13DA3"/>
    <w:rsid w:val="00A13FE7"/>
    <w:rsid w:val="00A15670"/>
    <w:rsid w:val="00A22C6A"/>
    <w:rsid w:val="00A232C1"/>
    <w:rsid w:val="00A24727"/>
    <w:rsid w:val="00A25F23"/>
    <w:rsid w:val="00A26141"/>
    <w:rsid w:val="00A26CD8"/>
    <w:rsid w:val="00A31FEE"/>
    <w:rsid w:val="00A32194"/>
    <w:rsid w:val="00A32665"/>
    <w:rsid w:val="00A330AB"/>
    <w:rsid w:val="00A334AB"/>
    <w:rsid w:val="00A33CF4"/>
    <w:rsid w:val="00A34F6C"/>
    <w:rsid w:val="00A37803"/>
    <w:rsid w:val="00A37976"/>
    <w:rsid w:val="00A40107"/>
    <w:rsid w:val="00A42B2E"/>
    <w:rsid w:val="00A430A8"/>
    <w:rsid w:val="00A43965"/>
    <w:rsid w:val="00A43A8F"/>
    <w:rsid w:val="00A43B37"/>
    <w:rsid w:val="00A4515C"/>
    <w:rsid w:val="00A452C8"/>
    <w:rsid w:val="00A46AF1"/>
    <w:rsid w:val="00A47EA0"/>
    <w:rsid w:val="00A505FF"/>
    <w:rsid w:val="00A53F48"/>
    <w:rsid w:val="00A543F4"/>
    <w:rsid w:val="00A546B8"/>
    <w:rsid w:val="00A54972"/>
    <w:rsid w:val="00A54DEC"/>
    <w:rsid w:val="00A5544B"/>
    <w:rsid w:val="00A55ECB"/>
    <w:rsid w:val="00A579F8"/>
    <w:rsid w:val="00A60353"/>
    <w:rsid w:val="00A619D8"/>
    <w:rsid w:val="00A6251F"/>
    <w:rsid w:val="00A62C43"/>
    <w:rsid w:val="00A653F3"/>
    <w:rsid w:val="00A66DB3"/>
    <w:rsid w:val="00A675B4"/>
    <w:rsid w:val="00A67E15"/>
    <w:rsid w:val="00A70C5E"/>
    <w:rsid w:val="00A7225A"/>
    <w:rsid w:val="00A779CA"/>
    <w:rsid w:val="00A813C4"/>
    <w:rsid w:val="00A82521"/>
    <w:rsid w:val="00A82ABE"/>
    <w:rsid w:val="00A86F59"/>
    <w:rsid w:val="00A87787"/>
    <w:rsid w:val="00A90431"/>
    <w:rsid w:val="00A91028"/>
    <w:rsid w:val="00A91101"/>
    <w:rsid w:val="00A91276"/>
    <w:rsid w:val="00A92C58"/>
    <w:rsid w:val="00A93505"/>
    <w:rsid w:val="00A9386A"/>
    <w:rsid w:val="00A94BDF"/>
    <w:rsid w:val="00A95347"/>
    <w:rsid w:val="00A956EB"/>
    <w:rsid w:val="00A95FC3"/>
    <w:rsid w:val="00AA0970"/>
    <w:rsid w:val="00AA0D55"/>
    <w:rsid w:val="00AA1570"/>
    <w:rsid w:val="00AA455F"/>
    <w:rsid w:val="00AA53E5"/>
    <w:rsid w:val="00AA6809"/>
    <w:rsid w:val="00AB01D5"/>
    <w:rsid w:val="00AB07FF"/>
    <w:rsid w:val="00AB16D9"/>
    <w:rsid w:val="00AB3514"/>
    <w:rsid w:val="00AB41A5"/>
    <w:rsid w:val="00AB4FF0"/>
    <w:rsid w:val="00AB5A0B"/>
    <w:rsid w:val="00AB7E38"/>
    <w:rsid w:val="00AC0185"/>
    <w:rsid w:val="00AC0199"/>
    <w:rsid w:val="00AC0670"/>
    <w:rsid w:val="00AC097F"/>
    <w:rsid w:val="00AC0CAA"/>
    <w:rsid w:val="00AC7E8C"/>
    <w:rsid w:val="00AD2D89"/>
    <w:rsid w:val="00AD43DC"/>
    <w:rsid w:val="00AE002C"/>
    <w:rsid w:val="00AE0EAD"/>
    <w:rsid w:val="00AE29F7"/>
    <w:rsid w:val="00AE4236"/>
    <w:rsid w:val="00AE480C"/>
    <w:rsid w:val="00AE51B0"/>
    <w:rsid w:val="00AE591A"/>
    <w:rsid w:val="00AE7F3B"/>
    <w:rsid w:val="00AF259B"/>
    <w:rsid w:val="00AF3225"/>
    <w:rsid w:val="00AF3D5A"/>
    <w:rsid w:val="00AF712B"/>
    <w:rsid w:val="00B01547"/>
    <w:rsid w:val="00B01889"/>
    <w:rsid w:val="00B01E01"/>
    <w:rsid w:val="00B02B08"/>
    <w:rsid w:val="00B0348F"/>
    <w:rsid w:val="00B059BD"/>
    <w:rsid w:val="00B05B69"/>
    <w:rsid w:val="00B076ED"/>
    <w:rsid w:val="00B078EC"/>
    <w:rsid w:val="00B104BA"/>
    <w:rsid w:val="00B10CAB"/>
    <w:rsid w:val="00B10FFA"/>
    <w:rsid w:val="00B11671"/>
    <w:rsid w:val="00B1182E"/>
    <w:rsid w:val="00B11C79"/>
    <w:rsid w:val="00B123C0"/>
    <w:rsid w:val="00B15D1F"/>
    <w:rsid w:val="00B16A62"/>
    <w:rsid w:val="00B16BA1"/>
    <w:rsid w:val="00B17D73"/>
    <w:rsid w:val="00B20C71"/>
    <w:rsid w:val="00B20D0D"/>
    <w:rsid w:val="00B21927"/>
    <w:rsid w:val="00B23BEE"/>
    <w:rsid w:val="00B24C34"/>
    <w:rsid w:val="00B2770F"/>
    <w:rsid w:val="00B27969"/>
    <w:rsid w:val="00B27F6B"/>
    <w:rsid w:val="00B30292"/>
    <w:rsid w:val="00B30409"/>
    <w:rsid w:val="00B3232C"/>
    <w:rsid w:val="00B32559"/>
    <w:rsid w:val="00B342A2"/>
    <w:rsid w:val="00B345B0"/>
    <w:rsid w:val="00B35201"/>
    <w:rsid w:val="00B35DEE"/>
    <w:rsid w:val="00B368BD"/>
    <w:rsid w:val="00B36C5A"/>
    <w:rsid w:val="00B36D65"/>
    <w:rsid w:val="00B37B70"/>
    <w:rsid w:val="00B40294"/>
    <w:rsid w:val="00B42C82"/>
    <w:rsid w:val="00B42CF6"/>
    <w:rsid w:val="00B4307D"/>
    <w:rsid w:val="00B43B19"/>
    <w:rsid w:val="00B43F8D"/>
    <w:rsid w:val="00B4503E"/>
    <w:rsid w:val="00B46126"/>
    <w:rsid w:val="00B50FDA"/>
    <w:rsid w:val="00B512FE"/>
    <w:rsid w:val="00B52794"/>
    <w:rsid w:val="00B53E85"/>
    <w:rsid w:val="00B547E5"/>
    <w:rsid w:val="00B54837"/>
    <w:rsid w:val="00B54C9E"/>
    <w:rsid w:val="00B560AA"/>
    <w:rsid w:val="00B57A30"/>
    <w:rsid w:val="00B61ED5"/>
    <w:rsid w:val="00B63086"/>
    <w:rsid w:val="00B67967"/>
    <w:rsid w:val="00B67DC9"/>
    <w:rsid w:val="00B7385F"/>
    <w:rsid w:val="00B74EDD"/>
    <w:rsid w:val="00B75411"/>
    <w:rsid w:val="00B756D9"/>
    <w:rsid w:val="00B80490"/>
    <w:rsid w:val="00B80578"/>
    <w:rsid w:val="00B82E1E"/>
    <w:rsid w:val="00B82F92"/>
    <w:rsid w:val="00B86834"/>
    <w:rsid w:val="00B86897"/>
    <w:rsid w:val="00B91541"/>
    <w:rsid w:val="00B92219"/>
    <w:rsid w:val="00B9399D"/>
    <w:rsid w:val="00B94DAE"/>
    <w:rsid w:val="00B978C6"/>
    <w:rsid w:val="00BA11F0"/>
    <w:rsid w:val="00BA13A3"/>
    <w:rsid w:val="00BA1C0F"/>
    <w:rsid w:val="00BA2827"/>
    <w:rsid w:val="00BA3761"/>
    <w:rsid w:val="00BA4E90"/>
    <w:rsid w:val="00BA54D0"/>
    <w:rsid w:val="00BA5B76"/>
    <w:rsid w:val="00BA6C68"/>
    <w:rsid w:val="00BA7161"/>
    <w:rsid w:val="00BB0066"/>
    <w:rsid w:val="00BB2910"/>
    <w:rsid w:val="00BB3016"/>
    <w:rsid w:val="00BB368C"/>
    <w:rsid w:val="00BB39B5"/>
    <w:rsid w:val="00BB6B7A"/>
    <w:rsid w:val="00BB74CD"/>
    <w:rsid w:val="00BB7985"/>
    <w:rsid w:val="00BC14C3"/>
    <w:rsid w:val="00BC1CBA"/>
    <w:rsid w:val="00BC1D4E"/>
    <w:rsid w:val="00BC3AEA"/>
    <w:rsid w:val="00BC4859"/>
    <w:rsid w:val="00BC4AD8"/>
    <w:rsid w:val="00BC5470"/>
    <w:rsid w:val="00BC55DF"/>
    <w:rsid w:val="00BC575F"/>
    <w:rsid w:val="00BC6B8C"/>
    <w:rsid w:val="00BC6F10"/>
    <w:rsid w:val="00BC753F"/>
    <w:rsid w:val="00BC781E"/>
    <w:rsid w:val="00BC7E81"/>
    <w:rsid w:val="00BD0BF3"/>
    <w:rsid w:val="00BD19FE"/>
    <w:rsid w:val="00BD21BC"/>
    <w:rsid w:val="00BD48C2"/>
    <w:rsid w:val="00BD6669"/>
    <w:rsid w:val="00BD685D"/>
    <w:rsid w:val="00BD6ADD"/>
    <w:rsid w:val="00BD725C"/>
    <w:rsid w:val="00BE26FE"/>
    <w:rsid w:val="00BE27FF"/>
    <w:rsid w:val="00BE34A0"/>
    <w:rsid w:val="00BE35B5"/>
    <w:rsid w:val="00BE52AB"/>
    <w:rsid w:val="00BE5A19"/>
    <w:rsid w:val="00BE62E3"/>
    <w:rsid w:val="00BE7448"/>
    <w:rsid w:val="00BF1B7F"/>
    <w:rsid w:val="00BF30DA"/>
    <w:rsid w:val="00BF408A"/>
    <w:rsid w:val="00BF45E6"/>
    <w:rsid w:val="00BF48D5"/>
    <w:rsid w:val="00BF7735"/>
    <w:rsid w:val="00BF7DEE"/>
    <w:rsid w:val="00C05A4D"/>
    <w:rsid w:val="00C06B72"/>
    <w:rsid w:val="00C06C6D"/>
    <w:rsid w:val="00C10807"/>
    <w:rsid w:val="00C108F7"/>
    <w:rsid w:val="00C136DA"/>
    <w:rsid w:val="00C151B5"/>
    <w:rsid w:val="00C1622F"/>
    <w:rsid w:val="00C2030F"/>
    <w:rsid w:val="00C21572"/>
    <w:rsid w:val="00C215CE"/>
    <w:rsid w:val="00C264AE"/>
    <w:rsid w:val="00C271CB"/>
    <w:rsid w:val="00C27207"/>
    <w:rsid w:val="00C274A5"/>
    <w:rsid w:val="00C31E7E"/>
    <w:rsid w:val="00C32BEC"/>
    <w:rsid w:val="00C32E00"/>
    <w:rsid w:val="00C35FF3"/>
    <w:rsid w:val="00C36CFA"/>
    <w:rsid w:val="00C40D77"/>
    <w:rsid w:val="00C4362F"/>
    <w:rsid w:val="00C44055"/>
    <w:rsid w:val="00C46124"/>
    <w:rsid w:val="00C46ABE"/>
    <w:rsid w:val="00C5158D"/>
    <w:rsid w:val="00C5161E"/>
    <w:rsid w:val="00C54B8E"/>
    <w:rsid w:val="00C557F9"/>
    <w:rsid w:val="00C56CFE"/>
    <w:rsid w:val="00C601F3"/>
    <w:rsid w:val="00C60387"/>
    <w:rsid w:val="00C619B7"/>
    <w:rsid w:val="00C61AF2"/>
    <w:rsid w:val="00C61E0D"/>
    <w:rsid w:val="00C63025"/>
    <w:rsid w:val="00C63573"/>
    <w:rsid w:val="00C63872"/>
    <w:rsid w:val="00C642B4"/>
    <w:rsid w:val="00C64E99"/>
    <w:rsid w:val="00C6550E"/>
    <w:rsid w:val="00C66CB0"/>
    <w:rsid w:val="00C66D74"/>
    <w:rsid w:val="00C6766C"/>
    <w:rsid w:val="00C678D0"/>
    <w:rsid w:val="00C72AC1"/>
    <w:rsid w:val="00C72B6F"/>
    <w:rsid w:val="00C76944"/>
    <w:rsid w:val="00C76A41"/>
    <w:rsid w:val="00C76D1D"/>
    <w:rsid w:val="00C77172"/>
    <w:rsid w:val="00C80606"/>
    <w:rsid w:val="00C80A95"/>
    <w:rsid w:val="00C83C20"/>
    <w:rsid w:val="00C83EE9"/>
    <w:rsid w:val="00C83F7B"/>
    <w:rsid w:val="00C841B2"/>
    <w:rsid w:val="00C90FA5"/>
    <w:rsid w:val="00C91AC8"/>
    <w:rsid w:val="00C91EE1"/>
    <w:rsid w:val="00C9290C"/>
    <w:rsid w:val="00C9396A"/>
    <w:rsid w:val="00C94045"/>
    <w:rsid w:val="00C94174"/>
    <w:rsid w:val="00C94C38"/>
    <w:rsid w:val="00C94DAB"/>
    <w:rsid w:val="00C975B5"/>
    <w:rsid w:val="00CA0081"/>
    <w:rsid w:val="00CA1366"/>
    <w:rsid w:val="00CA17BB"/>
    <w:rsid w:val="00CA388A"/>
    <w:rsid w:val="00CA53DD"/>
    <w:rsid w:val="00CB7C76"/>
    <w:rsid w:val="00CC16D1"/>
    <w:rsid w:val="00CC1987"/>
    <w:rsid w:val="00CC3A8B"/>
    <w:rsid w:val="00CC5FEC"/>
    <w:rsid w:val="00CC67A6"/>
    <w:rsid w:val="00CD0C86"/>
    <w:rsid w:val="00CD10D7"/>
    <w:rsid w:val="00CD2FDC"/>
    <w:rsid w:val="00CD33AF"/>
    <w:rsid w:val="00CD4CC6"/>
    <w:rsid w:val="00CE032A"/>
    <w:rsid w:val="00CE0BC2"/>
    <w:rsid w:val="00CE3CF9"/>
    <w:rsid w:val="00CE42C7"/>
    <w:rsid w:val="00CE50F7"/>
    <w:rsid w:val="00CE76DE"/>
    <w:rsid w:val="00CF0985"/>
    <w:rsid w:val="00CF406D"/>
    <w:rsid w:val="00CF5C38"/>
    <w:rsid w:val="00CF693D"/>
    <w:rsid w:val="00CF6EA4"/>
    <w:rsid w:val="00D027C4"/>
    <w:rsid w:val="00D03E61"/>
    <w:rsid w:val="00D04275"/>
    <w:rsid w:val="00D044BA"/>
    <w:rsid w:val="00D06C2B"/>
    <w:rsid w:val="00D0752F"/>
    <w:rsid w:val="00D075B0"/>
    <w:rsid w:val="00D07E43"/>
    <w:rsid w:val="00D1130E"/>
    <w:rsid w:val="00D138FB"/>
    <w:rsid w:val="00D13E68"/>
    <w:rsid w:val="00D15371"/>
    <w:rsid w:val="00D15415"/>
    <w:rsid w:val="00D17873"/>
    <w:rsid w:val="00D207FE"/>
    <w:rsid w:val="00D22A9C"/>
    <w:rsid w:val="00D306B4"/>
    <w:rsid w:val="00D30BF6"/>
    <w:rsid w:val="00D315D9"/>
    <w:rsid w:val="00D31CCC"/>
    <w:rsid w:val="00D3474C"/>
    <w:rsid w:val="00D35EDD"/>
    <w:rsid w:val="00D36A9A"/>
    <w:rsid w:val="00D37234"/>
    <w:rsid w:val="00D37A98"/>
    <w:rsid w:val="00D40C39"/>
    <w:rsid w:val="00D43574"/>
    <w:rsid w:val="00D439C6"/>
    <w:rsid w:val="00D45E82"/>
    <w:rsid w:val="00D4600C"/>
    <w:rsid w:val="00D47ECA"/>
    <w:rsid w:val="00D50EC0"/>
    <w:rsid w:val="00D5314D"/>
    <w:rsid w:val="00D54324"/>
    <w:rsid w:val="00D5441B"/>
    <w:rsid w:val="00D548D6"/>
    <w:rsid w:val="00D56098"/>
    <w:rsid w:val="00D5682F"/>
    <w:rsid w:val="00D57B31"/>
    <w:rsid w:val="00D651BE"/>
    <w:rsid w:val="00D66A83"/>
    <w:rsid w:val="00D71D98"/>
    <w:rsid w:val="00D7289E"/>
    <w:rsid w:val="00D74C26"/>
    <w:rsid w:val="00D7594C"/>
    <w:rsid w:val="00D80458"/>
    <w:rsid w:val="00D81065"/>
    <w:rsid w:val="00D814D8"/>
    <w:rsid w:val="00D82507"/>
    <w:rsid w:val="00D9053A"/>
    <w:rsid w:val="00D90EF4"/>
    <w:rsid w:val="00D928E7"/>
    <w:rsid w:val="00D92CF7"/>
    <w:rsid w:val="00D9457D"/>
    <w:rsid w:val="00D94721"/>
    <w:rsid w:val="00D95AE0"/>
    <w:rsid w:val="00D96F37"/>
    <w:rsid w:val="00D97974"/>
    <w:rsid w:val="00DA1A02"/>
    <w:rsid w:val="00DA2742"/>
    <w:rsid w:val="00DA29FE"/>
    <w:rsid w:val="00DA3754"/>
    <w:rsid w:val="00DA3CD3"/>
    <w:rsid w:val="00DA450C"/>
    <w:rsid w:val="00DA626A"/>
    <w:rsid w:val="00DA713C"/>
    <w:rsid w:val="00DA7D1C"/>
    <w:rsid w:val="00DB2E50"/>
    <w:rsid w:val="00DB364B"/>
    <w:rsid w:val="00DB4EF0"/>
    <w:rsid w:val="00DB5064"/>
    <w:rsid w:val="00DB59C7"/>
    <w:rsid w:val="00DB6238"/>
    <w:rsid w:val="00DB62F7"/>
    <w:rsid w:val="00DB7540"/>
    <w:rsid w:val="00DB7F74"/>
    <w:rsid w:val="00DC0767"/>
    <w:rsid w:val="00DC1171"/>
    <w:rsid w:val="00DC4F7A"/>
    <w:rsid w:val="00DC6EC7"/>
    <w:rsid w:val="00DC7553"/>
    <w:rsid w:val="00DD0097"/>
    <w:rsid w:val="00DD1560"/>
    <w:rsid w:val="00DD2156"/>
    <w:rsid w:val="00DD2460"/>
    <w:rsid w:val="00DD3391"/>
    <w:rsid w:val="00DD406A"/>
    <w:rsid w:val="00DD5381"/>
    <w:rsid w:val="00DD66B3"/>
    <w:rsid w:val="00DD7B80"/>
    <w:rsid w:val="00DD7DFA"/>
    <w:rsid w:val="00DE0DA6"/>
    <w:rsid w:val="00DE32CE"/>
    <w:rsid w:val="00DE35EB"/>
    <w:rsid w:val="00DE3C38"/>
    <w:rsid w:val="00DF098F"/>
    <w:rsid w:val="00DF438D"/>
    <w:rsid w:val="00E01159"/>
    <w:rsid w:val="00E0181E"/>
    <w:rsid w:val="00E018BF"/>
    <w:rsid w:val="00E042B7"/>
    <w:rsid w:val="00E05F99"/>
    <w:rsid w:val="00E06073"/>
    <w:rsid w:val="00E06960"/>
    <w:rsid w:val="00E07950"/>
    <w:rsid w:val="00E132EC"/>
    <w:rsid w:val="00E17AD2"/>
    <w:rsid w:val="00E208EA"/>
    <w:rsid w:val="00E20963"/>
    <w:rsid w:val="00E20EBB"/>
    <w:rsid w:val="00E21EED"/>
    <w:rsid w:val="00E2289B"/>
    <w:rsid w:val="00E23010"/>
    <w:rsid w:val="00E237E1"/>
    <w:rsid w:val="00E239D3"/>
    <w:rsid w:val="00E23B60"/>
    <w:rsid w:val="00E26004"/>
    <w:rsid w:val="00E271F0"/>
    <w:rsid w:val="00E304F1"/>
    <w:rsid w:val="00E328CC"/>
    <w:rsid w:val="00E36764"/>
    <w:rsid w:val="00E41969"/>
    <w:rsid w:val="00E41FF8"/>
    <w:rsid w:val="00E4277C"/>
    <w:rsid w:val="00E4319D"/>
    <w:rsid w:val="00E446A7"/>
    <w:rsid w:val="00E44741"/>
    <w:rsid w:val="00E47250"/>
    <w:rsid w:val="00E53E96"/>
    <w:rsid w:val="00E612CB"/>
    <w:rsid w:val="00E61FA2"/>
    <w:rsid w:val="00E6327B"/>
    <w:rsid w:val="00E63387"/>
    <w:rsid w:val="00E64566"/>
    <w:rsid w:val="00E64A66"/>
    <w:rsid w:val="00E64D23"/>
    <w:rsid w:val="00E656C6"/>
    <w:rsid w:val="00E6629F"/>
    <w:rsid w:val="00E701D4"/>
    <w:rsid w:val="00E72D55"/>
    <w:rsid w:val="00E735C0"/>
    <w:rsid w:val="00E75C01"/>
    <w:rsid w:val="00E76F13"/>
    <w:rsid w:val="00E76FC2"/>
    <w:rsid w:val="00E773AE"/>
    <w:rsid w:val="00E80B38"/>
    <w:rsid w:val="00E81003"/>
    <w:rsid w:val="00E819ED"/>
    <w:rsid w:val="00E81D83"/>
    <w:rsid w:val="00E820F6"/>
    <w:rsid w:val="00E82F73"/>
    <w:rsid w:val="00E8535D"/>
    <w:rsid w:val="00E85AD0"/>
    <w:rsid w:val="00E90C20"/>
    <w:rsid w:val="00E91FA2"/>
    <w:rsid w:val="00E94E72"/>
    <w:rsid w:val="00E95DC3"/>
    <w:rsid w:val="00EA0A04"/>
    <w:rsid w:val="00EA0A10"/>
    <w:rsid w:val="00EA0D42"/>
    <w:rsid w:val="00EA2689"/>
    <w:rsid w:val="00EA2C60"/>
    <w:rsid w:val="00EA57C6"/>
    <w:rsid w:val="00EA5A2B"/>
    <w:rsid w:val="00EA7E4F"/>
    <w:rsid w:val="00EB22D4"/>
    <w:rsid w:val="00EB3B77"/>
    <w:rsid w:val="00EB4DC1"/>
    <w:rsid w:val="00EB726D"/>
    <w:rsid w:val="00EB786B"/>
    <w:rsid w:val="00EC0B0D"/>
    <w:rsid w:val="00EC0C73"/>
    <w:rsid w:val="00EC1F4C"/>
    <w:rsid w:val="00EC5B90"/>
    <w:rsid w:val="00EC769A"/>
    <w:rsid w:val="00ED01B6"/>
    <w:rsid w:val="00ED08C9"/>
    <w:rsid w:val="00ED1710"/>
    <w:rsid w:val="00ED49B8"/>
    <w:rsid w:val="00ED4E41"/>
    <w:rsid w:val="00ED4EA0"/>
    <w:rsid w:val="00ED509E"/>
    <w:rsid w:val="00ED5226"/>
    <w:rsid w:val="00ED6531"/>
    <w:rsid w:val="00EE0DBB"/>
    <w:rsid w:val="00EE4363"/>
    <w:rsid w:val="00EE744D"/>
    <w:rsid w:val="00EF3895"/>
    <w:rsid w:val="00EF3B77"/>
    <w:rsid w:val="00EF6BD5"/>
    <w:rsid w:val="00EF7093"/>
    <w:rsid w:val="00EF71D2"/>
    <w:rsid w:val="00F00275"/>
    <w:rsid w:val="00F00A2C"/>
    <w:rsid w:val="00F01569"/>
    <w:rsid w:val="00F01B8A"/>
    <w:rsid w:val="00F0235E"/>
    <w:rsid w:val="00F03BB8"/>
    <w:rsid w:val="00F0407F"/>
    <w:rsid w:val="00F040B2"/>
    <w:rsid w:val="00F04447"/>
    <w:rsid w:val="00F061DF"/>
    <w:rsid w:val="00F06823"/>
    <w:rsid w:val="00F12428"/>
    <w:rsid w:val="00F12A50"/>
    <w:rsid w:val="00F159CA"/>
    <w:rsid w:val="00F177B8"/>
    <w:rsid w:val="00F2103C"/>
    <w:rsid w:val="00F228D1"/>
    <w:rsid w:val="00F24429"/>
    <w:rsid w:val="00F271AF"/>
    <w:rsid w:val="00F27E2A"/>
    <w:rsid w:val="00F30080"/>
    <w:rsid w:val="00F3019B"/>
    <w:rsid w:val="00F31A5E"/>
    <w:rsid w:val="00F34403"/>
    <w:rsid w:val="00F34A67"/>
    <w:rsid w:val="00F35FEC"/>
    <w:rsid w:val="00F408F2"/>
    <w:rsid w:val="00F40BA3"/>
    <w:rsid w:val="00F42155"/>
    <w:rsid w:val="00F42FEE"/>
    <w:rsid w:val="00F43855"/>
    <w:rsid w:val="00F44321"/>
    <w:rsid w:val="00F459E5"/>
    <w:rsid w:val="00F46E16"/>
    <w:rsid w:val="00F5137F"/>
    <w:rsid w:val="00F56BDA"/>
    <w:rsid w:val="00F6043E"/>
    <w:rsid w:val="00F60658"/>
    <w:rsid w:val="00F61142"/>
    <w:rsid w:val="00F61C83"/>
    <w:rsid w:val="00F61D57"/>
    <w:rsid w:val="00F626DB"/>
    <w:rsid w:val="00F62896"/>
    <w:rsid w:val="00F63E9E"/>
    <w:rsid w:val="00F648FC"/>
    <w:rsid w:val="00F64DEA"/>
    <w:rsid w:val="00F657F4"/>
    <w:rsid w:val="00F717D8"/>
    <w:rsid w:val="00F73CB2"/>
    <w:rsid w:val="00F740D9"/>
    <w:rsid w:val="00F74EF3"/>
    <w:rsid w:val="00F82162"/>
    <w:rsid w:val="00F837F5"/>
    <w:rsid w:val="00F863EA"/>
    <w:rsid w:val="00F865AF"/>
    <w:rsid w:val="00F92BA0"/>
    <w:rsid w:val="00F949FD"/>
    <w:rsid w:val="00F94DCD"/>
    <w:rsid w:val="00F956E3"/>
    <w:rsid w:val="00F958BD"/>
    <w:rsid w:val="00F95EA2"/>
    <w:rsid w:val="00F972FE"/>
    <w:rsid w:val="00F9769E"/>
    <w:rsid w:val="00FA0190"/>
    <w:rsid w:val="00FA0B26"/>
    <w:rsid w:val="00FA2080"/>
    <w:rsid w:val="00FA3CF7"/>
    <w:rsid w:val="00FA5DB0"/>
    <w:rsid w:val="00FA71CB"/>
    <w:rsid w:val="00FA789F"/>
    <w:rsid w:val="00FB08FD"/>
    <w:rsid w:val="00FB16DF"/>
    <w:rsid w:val="00FB1FF0"/>
    <w:rsid w:val="00FB2D64"/>
    <w:rsid w:val="00FB384B"/>
    <w:rsid w:val="00FB6732"/>
    <w:rsid w:val="00FB6A95"/>
    <w:rsid w:val="00FC0D1B"/>
    <w:rsid w:val="00FC1C09"/>
    <w:rsid w:val="00FC281B"/>
    <w:rsid w:val="00FC3258"/>
    <w:rsid w:val="00FC3C02"/>
    <w:rsid w:val="00FC4398"/>
    <w:rsid w:val="00FC57CF"/>
    <w:rsid w:val="00FC64AA"/>
    <w:rsid w:val="00FC69A8"/>
    <w:rsid w:val="00FD1084"/>
    <w:rsid w:val="00FD1243"/>
    <w:rsid w:val="00FD1717"/>
    <w:rsid w:val="00FD1A24"/>
    <w:rsid w:val="00FD1D04"/>
    <w:rsid w:val="00FD29B4"/>
    <w:rsid w:val="00FD32D1"/>
    <w:rsid w:val="00FD34FB"/>
    <w:rsid w:val="00FD64B2"/>
    <w:rsid w:val="00FD664B"/>
    <w:rsid w:val="00FE04E7"/>
    <w:rsid w:val="00FE1ABE"/>
    <w:rsid w:val="00FE2070"/>
    <w:rsid w:val="00FE3396"/>
    <w:rsid w:val="00FE368E"/>
    <w:rsid w:val="00FE36AE"/>
    <w:rsid w:val="00FF0567"/>
    <w:rsid w:val="00FF2390"/>
    <w:rsid w:val="00FF284F"/>
    <w:rsid w:val="00FF318E"/>
    <w:rsid w:val="00FF3E58"/>
    <w:rsid w:val="00FF4323"/>
    <w:rsid w:val="00FF4FC0"/>
    <w:rsid w:val="00FF5236"/>
    <w:rsid w:val="00FF5E72"/>
    <w:rsid w:val="00FF6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89A50-66A3-4FE5-B392-FDA215453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2350</TotalTime>
  <Pages>8</Pages>
  <Words>2978</Words>
  <Characters>16978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697</cp:revision>
  <cp:lastPrinted>2015-07-20T19:34:00Z</cp:lastPrinted>
  <dcterms:created xsi:type="dcterms:W3CDTF">2015-09-03T17:40:00Z</dcterms:created>
  <dcterms:modified xsi:type="dcterms:W3CDTF">2016-01-12T01:16:00Z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